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48" w:rsidRDefault="00A62D48" w:rsidP="00A62D48">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w:t>
      </w:r>
      <w:r>
        <w:rPr>
          <w:rFonts w:ascii="Century" w:eastAsia="ＭＳ 明朝" w:hAnsi="Century" w:cs="Times New Roman" w:hint="eastAsia"/>
        </w:rPr>
        <w:t>１</w:t>
      </w:r>
    </w:p>
    <w:p w:rsidR="00A62D48" w:rsidRPr="002319F7" w:rsidRDefault="00A62D48" w:rsidP="00A62D48">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A62D48" w:rsidRPr="002319F7" w:rsidRDefault="00A62D48" w:rsidP="00A62D48">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三十一</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A62D48" w:rsidRPr="002319F7" w:rsidRDefault="00A62D48" w:rsidP="00A62D48">
      <w:pPr>
        <w:jc w:val="center"/>
        <w:rPr>
          <w:rFonts w:ascii="Century" w:eastAsia="ＭＳ 明朝" w:hAnsi="Century" w:cs="Times New Roman"/>
          <w:b/>
        </w:rPr>
      </w:pPr>
    </w:p>
    <w:p w:rsidR="00A62D48" w:rsidRPr="00A62D48" w:rsidRDefault="00A62D48" w:rsidP="00A62D48">
      <w:pPr>
        <w:jc w:val="center"/>
        <w:rPr>
          <w:b/>
          <w:kern w:val="0"/>
        </w:rPr>
      </w:pPr>
      <w:r w:rsidRPr="00A62D48">
        <w:rPr>
          <w:rFonts w:hint="eastAsia"/>
          <w:b/>
        </w:rPr>
        <w:t>神授王権は</w:t>
      </w:r>
      <w:r w:rsidRPr="00A62D48">
        <w:rPr>
          <w:rFonts w:hint="eastAsia"/>
          <w:b/>
        </w:rPr>
        <w:t>fiction</w:t>
      </w:r>
      <w:r w:rsidRPr="00A62D48">
        <w:rPr>
          <w:rFonts w:hint="eastAsia"/>
          <w:b/>
        </w:rPr>
        <w:t>に過ぎない。</w:t>
      </w:r>
      <w:r w:rsidRPr="00A62D48">
        <w:rPr>
          <w:b/>
        </w:rPr>
        <w:br/>
      </w:r>
      <w:r w:rsidRPr="00A62D48">
        <w:rPr>
          <w:rFonts w:hint="eastAsia"/>
          <w:b/>
        </w:rPr>
        <w:t>しかもこれは</w:t>
      </w:r>
      <w:r w:rsidRPr="00A62D48">
        <w:rPr>
          <w:rFonts w:hint="eastAsia"/>
          <w:b/>
        </w:rPr>
        <w:t>the Commons</w:t>
      </w:r>
      <w:r w:rsidRPr="00A62D48">
        <w:rPr>
          <w:rFonts w:hint="eastAsia"/>
          <w:b/>
        </w:rPr>
        <w:t>によって懐柔されたことによって、のちのち</w:t>
      </w:r>
      <w:r w:rsidRPr="00A62D48">
        <w:rPr>
          <w:b/>
        </w:rPr>
        <w:t>the sovereignty of the people</w:t>
      </w:r>
      <w:r w:rsidRPr="00A62D48">
        <w:rPr>
          <w:b/>
        </w:rPr>
        <w:t>という別の</w:t>
      </w:r>
      <w:r w:rsidRPr="00A62D48">
        <w:rPr>
          <w:b/>
        </w:rPr>
        <w:t>fiction</w:t>
      </w:r>
      <w:r w:rsidRPr="00A62D48">
        <w:rPr>
          <w:b/>
        </w:rPr>
        <w:t>に置き換えられる道を歩み始めた。</w:t>
      </w:r>
    </w:p>
    <w:p w:rsidR="00A62D48" w:rsidRPr="00EB5D04" w:rsidRDefault="00A62D48" w:rsidP="00A62D48">
      <w:pPr>
        <w:jc w:val="center"/>
        <w:rPr>
          <w:b/>
          <w:kern w:val="0"/>
        </w:rPr>
      </w:pPr>
    </w:p>
    <w:p w:rsidR="00A62D48" w:rsidRPr="002319F7" w:rsidRDefault="00A62D48" w:rsidP="00A62D48">
      <w:pPr>
        <w:jc w:val="right"/>
        <w:rPr>
          <w:rFonts w:ascii="Century" w:eastAsia="ＭＳ 明朝" w:hAnsi="Century" w:cs="Times New Roman"/>
        </w:rPr>
      </w:pPr>
      <w:r>
        <w:rPr>
          <w:rFonts w:ascii="Century" w:eastAsia="ＭＳ 明朝" w:hAnsi="Century" w:cs="Times New Roman" w:hint="eastAsia"/>
        </w:rPr>
        <w:t>20170126</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A62D48" w:rsidRDefault="00A62D48" w:rsidP="00A62D48">
      <w:r>
        <w:t xml:space="preserve">　</w:t>
      </w:r>
    </w:p>
    <w:p w:rsidR="00A62D48" w:rsidRDefault="00A62D48" w:rsidP="00A62D48">
      <w:pPr>
        <w:rPr>
          <w:rFonts w:ascii="Century" w:eastAsia="ＭＳ 明朝" w:hAnsi="Century" w:cs="Times New Roman"/>
        </w:rPr>
      </w:pPr>
      <w:r>
        <w:rPr>
          <w:rFonts w:hint="eastAsia"/>
        </w:rPr>
        <w:t xml:space="preserve"> </w:t>
      </w:r>
      <w:hyperlink r:id="rId7"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Pr>
          <w:rFonts w:ascii="Century" w:eastAsia="ＭＳ 明朝" w:hAnsi="Century" w:cs="Times New Roman" w:hint="eastAsia"/>
          <w:b/>
        </w:rPr>
        <w:t>k1</w:t>
      </w:r>
      <w:r w:rsidR="00B4482A">
        <w:rPr>
          <w:rFonts w:ascii="Century" w:eastAsia="ＭＳ 明朝" w:hAnsi="Century" w:cs="Times New Roman" w:hint="eastAsia"/>
          <w:b/>
        </w:rPr>
        <w:t>1</w:t>
      </w:r>
      <w:r w:rsidRPr="004F41AB">
        <w:rPr>
          <w:rFonts w:ascii="Century" w:eastAsia="ＭＳ 明朝" w:hAnsi="Century" w:cs="Times New Roman" w:hint="eastAsia"/>
          <w:b/>
        </w:rPr>
        <w:t>を</w:t>
      </w:r>
      <w:hyperlink r:id="rId8" w:history="1">
        <w:r w:rsidRPr="00514D44">
          <w:rPr>
            <w:rStyle w:val="a7"/>
            <w:rFonts w:ascii="Century" w:eastAsia="ＭＳ 明朝" w:hAnsi="Century" w:cs="Times New Roman" w:hint="eastAsia"/>
            <w:b/>
          </w:rPr>
          <w:t>和英混訳</w:t>
        </w:r>
      </w:hyperlink>
      <w:r>
        <w:rPr>
          <w:rFonts w:ascii="Century" w:eastAsia="ＭＳ 明朝" w:hAnsi="Century" w:cs="Times New Roman" w:hint="eastAsia"/>
          <w:b/>
        </w:rPr>
        <w:t>のコーナーにアップした。</w:t>
      </w:r>
    </w:p>
    <w:p w:rsidR="00A62D48" w:rsidRPr="00247B37" w:rsidRDefault="00A62D48" w:rsidP="00A62D48">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247B37">
        <w:rPr>
          <w:rFonts w:ascii="Century" w:eastAsia="ＭＳ 明朝" w:hAnsi="Century" w:cs="Times New Roman"/>
          <w:noProof/>
          <w:color w:val="0000FF"/>
          <w:kern w:val="0"/>
          <w:sz w:val="22"/>
          <w:u w:val="single"/>
        </w:rPr>
        <w:t>1</w:t>
      </w:r>
      <w:r w:rsidRPr="00247B37">
        <w:rPr>
          <w:rFonts w:ascii="Century" w:eastAsia="ＭＳ 明朝" w:hAnsi="Century" w:cs="Times New Roman" w:hint="eastAsia"/>
          <w:noProof/>
          <w:color w:val="0000FF"/>
          <w:kern w:val="0"/>
          <w:sz w:val="22"/>
          <w:u w:val="single"/>
        </w:rPr>
        <w:t>．</w:t>
      </w:r>
      <w:r w:rsidRPr="00247B37">
        <w:rPr>
          <w:rFonts w:ascii="Century" w:eastAsia="ＭＳ 明朝" w:hAnsi="Century" w:cs="Times New Roman"/>
          <w:noProof/>
          <w:color w:val="0000FF"/>
          <w:kern w:val="0"/>
          <w:sz w:val="22"/>
          <w:u w:val="single"/>
        </w:rPr>
        <w:t>The Divine Right of Kings</w:t>
      </w:r>
      <w:r w:rsidRPr="00247B37">
        <w:rPr>
          <w:rFonts w:ascii="Century" w:eastAsia="ＭＳ 明朝" w:hAnsi="Century" w:cs="Times New Roman" w:hint="eastAsia"/>
          <w:noProof/>
          <w:color w:val="0000FF"/>
          <w:kern w:val="0"/>
          <w:sz w:val="22"/>
          <w:u w:val="single"/>
        </w:rPr>
        <w:t xml:space="preserve">　神授王権</w:t>
      </w:r>
      <w:r w:rsidRPr="00247B37">
        <w:rPr>
          <w:rFonts w:ascii="Century" w:eastAsia="ＭＳ 明朝" w:hAnsi="Century" w:cs="Times New Roman"/>
          <w:noProof/>
          <w:webHidden/>
          <w:color w:val="0000FF"/>
          <w:kern w:val="0"/>
          <w:sz w:val="22"/>
          <w:u w:val="single"/>
        </w:rPr>
        <w:tab/>
      </w:r>
      <w:r>
        <w:rPr>
          <w:rFonts w:ascii="Century" w:eastAsia="ＭＳ 明朝" w:hAnsi="Century" w:cs="Times New Roman"/>
          <w:noProof/>
          <w:webHidden/>
          <w:color w:val="0000FF"/>
          <w:kern w:val="0"/>
          <w:sz w:val="22"/>
          <w:u w:val="single"/>
        </w:rPr>
        <w:t>2</w:t>
      </w:r>
      <w:r w:rsidR="00B4482A">
        <w:rPr>
          <w:rFonts w:ascii="Century" w:eastAsia="ＭＳ 明朝" w:hAnsi="Century" w:cs="Times New Roman"/>
          <w:noProof/>
          <w:webHidden/>
          <w:color w:val="0000FF"/>
          <w:kern w:val="0"/>
          <w:sz w:val="22"/>
          <w:u w:val="single"/>
        </w:rPr>
        <w:t>5</w:t>
      </w:r>
      <w:r>
        <w:rPr>
          <w:rFonts w:ascii="Century" w:eastAsia="ＭＳ 明朝" w:hAnsi="Century" w:cs="Times New Roman"/>
          <w:noProof/>
          <w:webHidden/>
          <w:color w:val="0000FF"/>
          <w:kern w:val="0"/>
          <w:sz w:val="22"/>
          <w:u w:val="single"/>
        </w:rPr>
        <w:t>-2</w:t>
      </w:r>
      <w:r w:rsidR="00B4482A">
        <w:rPr>
          <w:rFonts w:ascii="Century" w:eastAsia="ＭＳ 明朝" w:hAnsi="Century" w:cs="Times New Roman"/>
          <w:noProof/>
          <w:webHidden/>
          <w:color w:val="0000FF"/>
          <w:kern w:val="0"/>
          <w:sz w:val="22"/>
          <w:u w:val="single"/>
        </w:rPr>
        <w:t>6</w:t>
      </w:r>
    </w:p>
    <w:p w:rsidR="00BD55CE" w:rsidRDefault="00CF2779">
      <w:r>
        <w:rPr>
          <w:rFonts w:ascii="Century" w:eastAsia="ＭＳ 明朝" w:hAnsi="Century" w:cs="Times New Roman"/>
        </w:rPr>
        <w:t>今週は、結論部二段落を半訳し、</w:t>
      </w:r>
      <w:r w:rsidR="00A62D48">
        <w:rPr>
          <w:rFonts w:ascii="Century" w:eastAsia="ＭＳ 明朝" w:hAnsi="Century" w:cs="Times New Roman"/>
        </w:rPr>
        <w:t>この章の半訳を終えた。</w:t>
      </w:r>
      <w:r>
        <w:rPr>
          <w:rFonts w:ascii="Century" w:eastAsia="ＭＳ 明朝" w:hAnsi="Century" w:cs="Times New Roman"/>
        </w:rPr>
        <w:t>先週、風邪でボーっとする頭で、大事なこの結論部を誤訳してしまった。「</w:t>
      </w:r>
      <w:r w:rsidR="00B4482A">
        <w:rPr>
          <w:rFonts w:ascii="Century" w:eastAsia="ＭＳ 明朝" w:hAnsi="Century" w:cs="Times New Roman"/>
        </w:rPr>
        <w:t>（</w:t>
      </w:r>
      <w:r w:rsidR="00B4482A" w:rsidRPr="00B4482A">
        <w:rPr>
          <w:rFonts w:ascii="Century" w:eastAsia="ＭＳ 明朝" w:hAnsi="Century" w:cs="Times New Roman" w:hint="eastAsia"/>
        </w:rPr>
        <w:t>神授王権は</w:t>
      </w:r>
      <w:r w:rsidR="00B4482A">
        <w:rPr>
          <w:rFonts w:ascii="Century" w:eastAsia="ＭＳ 明朝" w:hAnsi="Century" w:cs="Times New Roman"/>
        </w:rPr>
        <w:t>）</w:t>
      </w:r>
      <w:r>
        <w:t>the people</w:t>
      </w:r>
      <w:r>
        <w:t>の主権という別の</w:t>
      </w:r>
      <w:r>
        <w:t>fiction</w:t>
      </w:r>
      <w:r>
        <w:t>に置き換えられた</w:t>
      </w:r>
      <w:r>
        <w:t>」と「完了形」にしてしまったが、正しくは「</w:t>
      </w:r>
      <w:r>
        <w:t>the people</w:t>
      </w:r>
      <w:r>
        <w:t>の主権と</w:t>
      </w:r>
      <w:r w:rsidRPr="00CF2779">
        <w:rPr>
          <w:rFonts w:hint="eastAsia"/>
        </w:rPr>
        <w:t>いう別の</w:t>
      </w:r>
      <w:r w:rsidRPr="00CF2779">
        <w:rPr>
          <w:rFonts w:hint="eastAsia"/>
        </w:rPr>
        <w:t>fiction</w:t>
      </w:r>
      <w:r w:rsidRPr="00CF2779">
        <w:rPr>
          <w:rFonts w:hint="eastAsia"/>
        </w:rPr>
        <w:t>に置き換えられる道を歩み始めた</w:t>
      </w:r>
      <w:r>
        <w:rPr>
          <w:rFonts w:hint="eastAsia"/>
        </w:rPr>
        <w:t>」だった。</w:t>
      </w:r>
    </w:p>
    <w:p w:rsidR="001C77D9" w:rsidRDefault="00CF2779">
      <w:pPr>
        <w:rPr>
          <w:rFonts w:hint="eastAsia"/>
        </w:rPr>
      </w:pPr>
      <w:r>
        <w:t xml:space="preserve">　なお、注や補遺を示す括弧記号を整理し</w:t>
      </w:r>
      <w:r w:rsidR="001C77D9">
        <w:t>た。即ち：</w:t>
      </w:r>
    </w:p>
    <w:p w:rsidR="00CF2779" w:rsidRPr="00CF2779" w:rsidRDefault="00CF2779" w:rsidP="00CF2779">
      <w:pPr>
        <w:wordWrap w:val="0"/>
        <w:jc w:val="right"/>
        <w:rPr>
          <w:kern w:val="0"/>
          <w:sz w:val="22"/>
        </w:rPr>
      </w:pPr>
      <w:r>
        <w:t xml:space="preserve">　</w:t>
      </w:r>
      <w:r w:rsidRPr="00CF2779">
        <w:rPr>
          <w:kern w:val="0"/>
          <w:sz w:val="22"/>
        </w:rPr>
        <w:t>和英混訳作業ファイル：原文英語（和訳）ないし和訳（原文英語）のスタイル</w:t>
      </w:r>
      <w:r w:rsidR="001C77D9">
        <w:rPr>
          <w:kern w:val="0"/>
          <w:sz w:val="22"/>
        </w:rPr>
        <w:t>。</w:t>
      </w:r>
    </w:p>
    <w:p w:rsidR="00CF2779" w:rsidRPr="00CF2779" w:rsidRDefault="00CF2779" w:rsidP="00CF2779">
      <w:pPr>
        <w:widowControl/>
        <w:ind w:firstLine="360"/>
        <w:jc w:val="right"/>
        <w:rPr>
          <w:kern w:val="0"/>
          <w:sz w:val="22"/>
        </w:rPr>
      </w:pPr>
      <w:r w:rsidRPr="00CF2779">
        <w:rPr>
          <w:kern w:val="0"/>
          <w:sz w:val="22"/>
        </w:rPr>
        <w:t>原文にある（）は［］で、</w:t>
      </w:r>
      <w:r w:rsidRPr="00CF2779">
        <w:rPr>
          <w:kern w:val="0"/>
          <w:sz w:val="22"/>
        </w:rPr>
        <w:t>” “</w:t>
      </w:r>
      <w:r w:rsidRPr="00CF2779">
        <w:rPr>
          <w:kern w:val="0"/>
          <w:sz w:val="22"/>
        </w:rPr>
        <w:t>は「」で、訳注と訳者補遺は【】で示した</w:t>
      </w:r>
      <w:r w:rsidR="001C77D9">
        <w:rPr>
          <w:kern w:val="0"/>
          <w:sz w:val="22"/>
        </w:rPr>
        <w:t>。</w:t>
      </w:r>
    </w:p>
    <w:p w:rsidR="00CF2779" w:rsidRPr="00CF2779" w:rsidRDefault="001C77D9">
      <w:pPr>
        <w:rPr>
          <w:rFonts w:hint="eastAsia"/>
        </w:rPr>
      </w:pPr>
      <w:r>
        <w:rPr>
          <w:rFonts w:hint="eastAsia"/>
        </w:rPr>
        <w:t>とし、括弧記号を付け直した。</w:t>
      </w:r>
    </w:p>
    <w:p w:rsidR="00CF2779" w:rsidRDefault="00CF2779"/>
    <w:p w:rsidR="00CF2779" w:rsidRDefault="00B4482A" w:rsidP="00CF2779">
      <w:pPr>
        <w:pBdr>
          <w:bottom w:val="single" w:sz="6" w:space="1" w:color="auto"/>
        </w:pBdr>
        <w:ind w:firstLineChars="100" w:firstLine="211"/>
      </w:pPr>
      <w:r>
        <w:rPr>
          <w:b/>
        </w:rPr>
        <w:t>さて、</w:t>
      </w:r>
      <w:bookmarkStart w:id="0" w:name="_GoBack"/>
      <w:bookmarkEnd w:id="0"/>
      <w:r w:rsidR="00CF2779" w:rsidRPr="00CF2779">
        <w:rPr>
          <w:b/>
        </w:rPr>
        <w:t>私があれこれ陳べるのは止して、結論部二段落を転記して今週号としたい</w:t>
      </w:r>
      <w:r w:rsidR="00CF2779">
        <w:t>。</w:t>
      </w:r>
    </w:p>
    <w:p w:rsidR="001C77D9" w:rsidRDefault="001C77D9" w:rsidP="001C77D9">
      <w:pPr>
        <w:ind w:firstLineChars="100" w:firstLine="210"/>
      </w:pPr>
      <w:r>
        <w:t>Grand Remonstrance</w:t>
      </w:r>
      <w:r>
        <w:t>（</w:t>
      </w:r>
      <w:r w:rsidRPr="005E2A84">
        <w:rPr>
          <w:rFonts w:hint="eastAsia"/>
        </w:rPr>
        <w:t>大抗議文</w:t>
      </w:r>
      <w:r>
        <w:t>）は、その帰結である</w:t>
      </w:r>
      <w:r>
        <w:t>the ministerial responsibility</w:t>
      </w:r>
      <w:r>
        <w:t>（閣僚責任制）に直ぐに結びつくことはなかったが、</w:t>
      </w:r>
      <w:r>
        <w:t>the politics of divine right</w:t>
      </w:r>
      <w:r>
        <w:t>（神授権による政治）の終焉が近いことの徴候だった。反対意見を持つ</w:t>
      </w:r>
      <w:r>
        <w:t>Sir Edward Dering</w:t>
      </w:r>
      <w:r>
        <w:t>曰く「この</w:t>
      </w:r>
      <w:r>
        <w:t>Remonstrance</w:t>
      </w:r>
      <w:r>
        <w:t>について最初に耳にしたとき</w:t>
      </w:r>
      <w:r>
        <w:t>…</w:t>
      </w:r>
      <w:r>
        <w:t>悪意に満ちた助言者達の危険な忠告が王を</w:t>
      </w:r>
      <w:r>
        <w:t>代表</w:t>
      </w:r>
      <w:r>
        <w:t>する意見</w:t>
      </w:r>
      <w:r>
        <w:t>となってしまうと私は危惧し</w:t>
      </w:r>
      <w:r>
        <w:t>…</w:t>
      </w:r>
      <w:r>
        <w:t>この抗議を</w:t>
      </w:r>
      <w:r w:rsidRPr="00593CC1">
        <w:rPr>
          <w:i/>
        </w:rPr>
        <w:t>downward</w:t>
      </w:r>
      <w:r>
        <w:t>に伝えようとは、即ちこの話を</w:t>
      </w:r>
      <w:r>
        <w:t xml:space="preserve">the </w:t>
      </w:r>
      <w:r w:rsidRPr="00346FEB">
        <w:rPr>
          <w:i/>
        </w:rPr>
        <w:t>People</w:t>
      </w:r>
      <w:r>
        <w:t>に教えようなどとは夢にも思いませんでした。王には</w:t>
      </w:r>
      <w:r>
        <w:t>a third Person</w:t>
      </w:r>
      <w:r>
        <w:t>【齋藤補遺：キリスト教の三位一体教義における第三位格、聖霊、</w:t>
      </w:r>
      <w:r>
        <w:t>the Holy Spirit</w:t>
      </w:r>
      <w:r>
        <w:t>】についてお話ししようと思いました。」しかしこの抗議こそ、王を褒め殺した帰結だった。即ち他の者が王座に登ることを妨害し続けた事によって</w:t>
      </w:r>
      <w:r>
        <w:t>the Commons</w:t>
      </w:r>
      <w:r>
        <w:t>は、王の臣下ではなく</w:t>
      </w:r>
      <w:r>
        <w:t>rivals</w:t>
      </w:r>
      <w:r>
        <w:t>として王と闘う地位にまで自分達を高めてしまったのだ。しかもこの種の争いは古い</w:t>
      </w:r>
      <w:r>
        <w:t>ground rules</w:t>
      </w:r>
      <w:r>
        <w:t>の下では成立しない。究極的には、</w:t>
      </w:r>
      <w:r>
        <w:t>divine sanction</w:t>
      </w:r>
      <w:r>
        <w:t>（神による強制力）を、王から</w:t>
      </w:r>
      <w:r>
        <w:t>his people and their representatives</w:t>
      </w:r>
      <w:r>
        <w:t>（王の支配下にあった人々とその代表者達）に移さざるを得なくなった。</w:t>
      </w:r>
    </w:p>
    <w:p w:rsidR="001C77D9" w:rsidRDefault="001C77D9" w:rsidP="001C77D9"/>
    <w:p w:rsidR="001C77D9" w:rsidRDefault="001C77D9" w:rsidP="001C77D9">
      <w:pPr>
        <w:pBdr>
          <w:bottom w:val="single" w:sz="6" w:space="1" w:color="auto"/>
        </w:pBdr>
        <w:ind w:firstLineChars="100" w:firstLine="210"/>
      </w:pPr>
      <w:r>
        <w:rPr>
          <w:rFonts w:hint="eastAsia"/>
        </w:rPr>
        <w:lastRenderedPageBreak/>
        <w:t>神授王権は</w:t>
      </w:r>
      <w:r>
        <w:rPr>
          <w:rFonts w:hint="eastAsia"/>
        </w:rPr>
        <w:t>fiction</w:t>
      </w:r>
      <w:r>
        <w:rPr>
          <w:rFonts w:hint="eastAsia"/>
        </w:rPr>
        <w:t>に過ぎない。しかもこれは</w:t>
      </w:r>
      <w:r>
        <w:rPr>
          <w:rFonts w:hint="eastAsia"/>
        </w:rPr>
        <w:t>the Commons</w:t>
      </w:r>
      <w:r>
        <w:rPr>
          <w:rFonts w:hint="eastAsia"/>
        </w:rPr>
        <w:t>によって懐柔されたことによって、のちのち</w:t>
      </w:r>
      <w:r>
        <w:t>the sovereignty of the people</w:t>
      </w:r>
      <w:r>
        <w:t>という別の</w:t>
      </w:r>
      <w:r>
        <w:t>fiction</w:t>
      </w:r>
      <w:r>
        <w:t>に置き換えられる道を歩み始めた。この二つの</w:t>
      </w:r>
      <w:r>
        <w:t>fiction</w:t>
      </w:r>
      <w:r>
        <w:t>は両極端にある様に見えるが、吟味すれば実は緊密に</w:t>
      </w:r>
      <w:r>
        <w:t>link</w:t>
      </w:r>
      <w:r>
        <w:t>しあっていることが分かる。</w:t>
      </w:r>
      <w:r>
        <w:t>the king’s divine right</w:t>
      </w:r>
      <w:r>
        <w:t>を受け入れつつもその権威は単一で不可分であると主張することによって</w:t>
      </w:r>
      <w:r>
        <w:t>the Commons</w:t>
      </w:r>
      <w:r>
        <w:t>は、自分達が決める</w:t>
      </w:r>
      <w:r>
        <w:t>terms</w:t>
      </w:r>
      <w:r>
        <w:t>（細目条項）無しではこの権威が機能しないようにする早道をつかんだ。彼らは、誉めそやすことで王を破滅させ、力をつけた臣下を</w:t>
      </w:r>
      <w:r>
        <w:t>humble</w:t>
      </w:r>
      <w:r>
        <w:t>（謙虚）にすることで</w:t>
      </w:r>
      <w:r>
        <w:t>the humble</w:t>
      </w:r>
      <w:r>
        <w:t>（謙虚な人々）の台頭に道を開いた。即ち、全ての人は平等であり</w:t>
      </w:r>
      <w:r>
        <w:t>governments</w:t>
      </w:r>
      <w:r>
        <w:t>の権限は</w:t>
      </w:r>
      <w:r>
        <w:t>govern</w:t>
      </w:r>
      <w:r>
        <w:t>する対象者達から導き出されるという世界の、新たな</w:t>
      </w:r>
      <w:r>
        <w:t>fiction</w:t>
      </w:r>
      <w:r>
        <w:t>へ道を開いたのだ。確かに、当時</w:t>
      </w:r>
      <w:r>
        <w:t>Westminster</w:t>
      </w:r>
      <w:r>
        <w:t>議事堂に座っていた者達はそんなこと</w:t>
      </w:r>
      <w:r>
        <w:rPr>
          <w:rFonts w:hint="eastAsia"/>
        </w:rPr>
        <w:t>は</w:t>
      </w:r>
      <w:r>
        <w:t>夢想だにせず王の完全性を称賛していたのだろう。しかし</w:t>
      </w:r>
      <w:r>
        <w:t>Whiggish tricks</w:t>
      </w:r>
      <w:r>
        <w:t>【勝ち筋を前もって知った者が必ずしも歴史の勝者になるのではない、とするホイッグ史観の仕掛け】を歴史が操る例は、なにも彼らが最初だったわけではない。</w:t>
      </w:r>
    </w:p>
    <w:p w:rsidR="001C77D9" w:rsidRDefault="001C77D9" w:rsidP="00CF2779">
      <w:pPr>
        <w:ind w:firstLineChars="100" w:firstLine="210"/>
      </w:pPr>
    </w:p>
    <w:p w:rsidR="001C77D9" w:rsidRDefault="006E313A" w:rsidP="00CC54A3">
      <w:pPr>
        <w:ind w:firstLineChars="100" w:firstLine="211"/>
      </w:pPr>
      <w:r w:rsidRPr="006E313A">
        <w:rPr>
          <w:b/>
        </w:rPr>
        <w:t>先週</w:t>
      </w:r>
      <w:r w:rsidR="00CC54A3" w:rsidRPr="006E313A">
        <w:rPr>
          <w:b/>
        </w:rPr>
        <w:t>20</w:t>
      </w:r>
      <w:r w:rsidR="00CC54A3" w:rsidRPr="006E313A">
        <w:rPr>
          <w:b/>
        </w:rPr>
        <w:t>日のトランプ大統領就任式の直後</w:t>
      </w:r>
      <w:r w:rsidR="00CC54A3">
        <w:t>、ローマ教皇は「</w:t>
      </w:r>
      <w:r w:rsidR="00CC54A3">
        <w:t>Hitler didn't steal power</w:t>
      </w:r>
      <w:r w:rsidR="00CC54A3">
        <w:t xml:space="preserve">: </w:t>
      </w:r>
      <w:r w:rsidR="00CC54A3">
        <w:t>his people voted for him,</w:t>
      </w:r>
      <w:r w:rsidR="00CC54A3">
        <w:t xml:space="preserve"> </w:t>
      </w:r>
      <w:r w:rsidR="00CC54A3">
        <w:t>and then he destroyed his</w:t>
      </w:r>
      <w:r w:rsidR="00CC54A3">
        <w:t xml:space="preserve"> </w:t>
      </w:r>
      <w:r w:rsidR="00CC54A3">
        <w:t>people</w:t>
      </w:r>
      <w:r w:rsidR="00CC54A3">
        <w:t>.</w:t>
      </w:r>
      <w:r w:rsidR="00CC54A3">
        <w:rPr>
          <w:rFonts w:hint="eastAsia"/>
        </w:rPr>
        <w:t>」</w:t>
      </w:r>
      <w:r w:rsidR="00CC54A3">
        <w:t>と述べ</w:t>
      </w:r>
      <w:r w:rsidR="00CA1E3A">
        <w:t>るとともに</w:t>
      </w:r>
      <w:r>
        <w:t>「</w:t>
      </w:r>
      <w:r w:rsidR="00CA1E3A" w:rsidRPr="00CA1E3A">
        <w:t>We will see how he</w:t>
      </w:r>
      <w:r w:rsidR="00CA1E3A">
        <w:t>(Trump)</w:t>
      </w:r>
      <w:r w:rsidR="00CA1E3A" w:rsidRPr="00CA1E3A">
        <w:t xml:space="preserve"> acts, what he does, and then I will form an opinion.</w:t>
      </w:r>
      <w:r w:rsidR="00CA1E3A">
        <w:t>」と先ずは静観を促した</w:t>
      </w:r>
      <w:r w:rsidR="00CC54A3">
        <w:t>。（</w:t>
      </w:r>
      <w:hyperlink r:id="rId9" w:history="1">
        <w:r w:rsidR="00CC54A3" w:rsidRPr="00CC54A3">
          <w:rPr>
            <w:rStyle w:val="a7"/>
          </w:rPr>
          <w:t>ここ</w:t>
        </w:r>
      </w:hyperlink>
      <w:r w:rsidR="00CC54A3">
        <w:t>参照方）</w:t>
      </w:r>
    </w:p>
    <w:p w:rsidR="006E313A" w:rsidRDefault="00CA1E3A" w:rsidP="00CC54A3">
      <w:pPr>
        <w:ind w:firstLineChars="100" w:firstLine="210"/>
      </w:pPr>
      <w:r>
        <w:rPr>
          <w:rFonts w:hint="eastAsia"/>
        </w:rPr>
        <w:t>トランプが大衆迎合主義（</w:t>
      </w:r>
      <w:r>
        <w:rPr>
          <w:rFonts w:hint="eastAsia"/>
        </w:rPr>
        <w:t>populism</w:t>
      </w:r>
      <w:r>
        <w:rPr>
          <w:rFonts w:hint="eastAsia"/>
        </w:rPr>
        <w:t>）に</w:t>
      </w:r>
      <w:r>
        <w:t>勝ち</w:t>
      </w:r>
      <w:r>
        <w:t>目</w:t>
      </w:r>
      <w:r>
        <w:t>を</w:t>
      </w:r>
      <w:r>
        <w:t>感じていたのは確かだろう。</w:t>
      </w:r>
      <w:r w:rsidR="004D2549">
        <w:t>彼は恐らく</w:t>
      </w:r>
      <w:r w:rsidR="004D2549">
        <w:t>ホイッグ史観者</w:t>
      </w:r>
      <w:r w:rsidR="004D2549">
        <w:t>ではない。</w:t>
      </w:r>
      <w:r>
        <w:t>その点は</w:t>
      </w:r>
      <w:r>
        <w:t>17</w:t>
      </w:r>
      <w:r>
        <w:t>世紀の</w:t>
      </w:r>
      <w:r>
        <w:t>the Commons</w:t>
      </w:r>
      <w:r>
        <w:t>よりも先見の明がある。しかし</w:t>
      </w:r>
      <w:r>
        <w:t>the Commons</w:t>
      </w:r>
      <w:r>
        <w:t>がその後、</w:t>
      </w:r>
      <w:r w:rsidR="004D2549">
        <w:t>アニハカランヤ、</w:t>
      </w:r>
      <w:r>
        <w:t>the people</w:t>
      </w:r>
      <w:r>
        <w:t>の主権を生み出す道を切り開いたのに対し、トランプは何をもたらすのだろうか。教皇の</w:t>
      </w:r>
      <w:r>
        <w:t>Hitler</w:t>
      </w:r>
      <w:r w:rsidR="004D2549" w:rsidRPr="004D2549">
        <w:t xml:space="preserve"> </w:t>
      </w:r>
      <w:r w:rsidR="004D2549">
        <w:t>destroyed his people</w:t>
      </w:r>
      <w:r>
        <w:t>の喩えが杞憂であって欲しいと願うばかりだ。</w:t>
      </w:r>
    </w:p>
    <w:p w:rsidR="00CA1E3A" w:rsidRDefault="00CA1E3A" w:rsidP="00CC54A3">
      <w:pPr>
        <w:ind w:firstLineChars="100" w:firstLine="210"/>
        <w:rPr>
          <w:rFonts w:hint="eastAsia"/>
        </w:rPr>
      </w:pPr>
    </w:p>
    <w:p w:rsidR="001C77D9" w:rsidRPr="001C77D9" w:rsidRDefault="001C77D9" w:rsidP="00CA1E3A">
      <w:pPr>
        <w:ind w:firstLineChars="100" w:firstLine="210"/>
        <w:jc w:val="right"/>
        <w:rPr>
          <w:rFonts w:hint="eastAsia"/>
        </w:rPr>
      </w:pPr>
      <w:r>
        <w:rPr>
          <w:rFonts w:hint="eastAsia"/>
        </w:rPr>
        <w:t>今週は以上。来週も請うご期待。</w:t>
      </w:r>
    </w:p>
    <w:sectPr w:rsidR="001C77D9" w:rsidRPr="001C77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91" w:rsidRDefault="00C62991" w:rsidP="00A62D48">
      <w:r>
        <w:separator/>
      </w:r>
    </w:p>
  </w:endnote>
  <w:endnote w:type="continuationSeparator" w:id="0">
    <w:p w:rsidR="00C62991" w:rsidRDefault="00C62991" w:rsidP="00A6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246461"/>
      <w:docPartObj>
        <w:docPartGallery w:val="Page Numbers (Bottom of Page)"/>
        <w:docPartUnique/>
      </w:docPartObj>
    </w:sdtPr>
    <w:sdtContent>
      <w:p w:rsidR="00B4482A" w:rsidRDefault="00B4482A">
        <w:pPr>
          <w:pStyle w:val="a5"/>
          <w:jc w:val="center"/>
        </w:pPr>
        <w:r>
          <w:fldChar w:fldCharType="begin"/>
        </w:r>
        <w:r>
          <w:instrText>PAGE   \* MERGEFORMAT</w:instrText>
        </w:r>
        <w:r>
          <w:fldChar w:fldCharType="separate"/>
        </w:r>
        <w:r w:rsidRPr="00B4482A">
          <w:rPr>
            <w:noProof/>
            <w:lang w:val="ja-JP"/>
          </w:rPr>
          <w:t>2</w:t>
        </w:r>
        <w:r>
          <w:fldChar w:fldCharType="end"/>
        </w:r>
      </w:p>
    </w:sdtContent>
  </w:sdt>
  <w:p w:rsidR="00B4482A" w:rsidRDefault="00B448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91" w:rsidRDefault="00C62991" w:rsidP="00A62D48">
      <w:r>
        <w:separator/>
      </w:r>
    </w:p>
  </w:footnote>
  <w:footnote w:type="continuationSeparator" w:id="0">
    <w:p w:rsidR="00C62991" w:rsidRDefault="00C62991" w:rsidP="00A62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3D"/>
    <w:rsid w:val="001C77D9"/>
    <w:rsid w:val="004D2549"/>
    <w:rsid w:val="006E313A"/>
    <w:rsid w:val="00A62D48"/>
    <w:rsid w:val="00AF1C3D"/>
    <w:rsid w:val="00B4482A"/>
    <w:rsid w:val="00BD55CE"/>
    <w:rsid w:val="00C62991"/>
    <w:rsid w:val="00CA1E3A"/>
    <w:rsid w:val="00CC54A3"/>
    <w:rsid w:val="00CF2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63FD0-29FD-470F-AFD1-ECF0780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D48"/>
    <w:pPr>
      <w:tabs>
        <w:tab w:val="center" w:pos="4252"/>
        <w:tab w:val="right" w:pos="8504"/>
      </w:tabs>
      <w:snapToGrid w:val="0"/>
    </w:pPr>
  </w:style>
  <w:style w:type="character" w:customStyle="1" w:styleId="a4">
    <w:name w:val="ヘッダー (文字)"/>
    <w:basedOn w:val="a0"/>
    <w:link w:val="a3"/>
    <w:uiPriority w:val="99"/>
    <w:rsid w:val="00A62D48"/>
  </w:style>
  <w:style w:type="paragraph" w:styleId="a5">
    <w:name w:val="footer"/>
    <w:basedOn w:val="a"/>
    <w:link w:val="a6"/>
    <w:uiPriority w:val="99"/>
    <w:unhideWhenUsed/>
    <w:rsid w:val="00A62D48"/>
    <w:pPr>
      <w:tabs>
        <w:tab w:val="center" w:pos="4252"/>
        <w:tab w:val="right" w:pos="8504"/>
      </w:tabs>
      <w:snapToGrid w:val="0"/>
    </w:pPr>
  </w:style>
  <w:style w:type="character" w:customStyle="1" w:styleId="a6">
    <w:name w:val="フッター (文字)"/>
    <w:basedOn w:val="a0"/>
    <w:link w:val="a5"/>
    <w:uiPriority w:val="99"/>
    <w:rsid w:val="00A62D48"/>
  </w:style>
  <w:style w:type="character" w:styleId="a7">
    <w:name w:val="Hyperlink"/>
    <w:basedOn w:val="a0"/>
    <w:uiPriority w:val="99"/>
    <w:unhideWhenUsed/>
    <w:rsid w:val="00A62D48"/>
    <w:rPr>
      <w:color w:val="0563C1" w:themeColor="hyperlink"/>
      <w:u w:val="single"/>
    </w:rPr>
  </w:style>
  <w:style w:type="paragraph" w:styleId="a8">
    <w:name w:val="footnote text"/>
    <w:basedOn w:val="a"/>
    <w:link w:val="a9"/>
    <w:uiPriority w:val="99"/>
    <w:semiHidden/>
    <w:unhideWhenUsed/>
    <w:rsid w:val="001C77D9"/>
    <w:pPr>
      <w:widowControl/>
      <w:snapToGrid w:val="0"/>
      <w:ind w:firstLine="360"/>
      <w:jc w:val="left"/>
    </w:pPr>
    <w:rPr>
      <w:kern w:val="0"/>
      <w:sz w:val="22"/>
    </w:rPr>
  </w:style>
  <w:style w:type="character" w:customStyle="1" w:styleId="a9">
    <w:name w:val="脚注文字列 (文字)"/>
    <w:basedOn w:val="a0"/>
    <w:link w:val="a8"/>
    <w:uiPriority w:val="99"/>
    <w:semiHidden/>
    <w:rsid w:val="001C77D9"/>
    <w:rPr>
      <w:kern w:val="0"/>
      <w:sz w:val="22"/>
    </w:rPr>
  </w:style>
  <w:style w:type="character" w:styleId="aa">
    <w:name w:val="footnote reference"/>
    <w:basedOn w:val="a0"/>
    <w:uiPriority w:val="99"/>
    <w:semiHidden/>
    <w:unhideWhenUsed/>
    <w:rsid w:val="001C7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WaEi%20KonYaku.htm" TargetMode="External"/><Relationship Id="rId3" Type="http://schemas.openxmlformats.org/officeDocument/2006/relationships/webSettings" Target="webSettings.xm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lpais.com/elpais/2017/01/21/inenglish/1485026427_22398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5</cp:revision>
  <dcterms:created xsi:type="dcterms:W3CDTF">2017-01-26T05:38:00Z</dcterms:created>
  <dcterms:modified xsi:type="dcterms:W3CDTF">2017-01-26T07:06:00Z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