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878" w:rsidRPr="0014362E" w:rsidRDefault="006F2878" w:rsidP="006F2878">
      <w:pPr>
        <w:jc w:val="center"/>
        <w:rPr>
          <w:rFonts w:ascii="Century" w:eastAsia="ＭＳ 明朝" w:hAnsi="Century" w:cs="Times New Roman"/>
        </w:rPr>
      </w:pPr>
      <w:r w:rsidRPr="0014362E">
        <w:rPr>
          <w:rFonts w:ascii="Century" w:eastAsia="ＭＳ 明朝" w:hAnsi="Century" w:cs="Times New Roman" w:hint="eastAsia"/>
        </w:rPr>
        <w:t xml:space="preserve">ほぼ週刊コラム　</w:t>
      </w:r>
      <w:r w:rsidRPr="0014362E">
        <w:rPr>
          <w:rFonts w:ascii="Century" w:eastAsia="ＭＳ 明朝" w:hAnsi="Century" w:cs="Times New Roman"/>
        </w:rPr>
        <w:t>Partnership</w:t>
      </w:r>
      <w:r>
        <w:rPr>
          <w:rFonts w:ascii="Century" w:eastAsia="ＭＳ 明朝" w:hAnsi="Century" w:cs="Times New Roman" w:hint="eastAsia"/>
        </w:rPr>
        <w:t>論　その１９０</w:t>
      </w:r>
    </w:p>
    <w:p w:rsidR="006F2878" w:rsidRPr="0014362E" w:rsidRDefault="006F2878" w:rsidP="006F2878">
      <w:pPr>
        <w:jc w:val="center"/>
        <w:rPr>
          <w:rFonts w:ascii="Century" w:eastAsia="ＭＳ 明朝" w:hAnsi="Century" w:cs="Times New Roman"/>
          <w:b/>
        </w:rPr>
      </w:pPr>
      <w:r w:rsidRPr="0014362E">
        <w:rPr>
          <w:rFonts w:ascii="Century" w:eastAsia="ＭＳ 明朝" w:hAnsi="Century" w:cs="Times New Roman" w:hint="eastAsia"/>
          <w:b/>
        </w:rPr>
        <w:t>シリーズ：『米国</w:t>
      </w:r>
      <w:r w:rsidRPr="0014362E">
        <w:rPr>
          <w:rFonts w:ascii="Century" w:eastAsia="ＭＳ 明朝" w:hAnsi="Century" w:cs="Times New Roman"/>
          <w:b/>
        </w:rPr>
        <w:t>Partnership</w:t>
      </w:r>
      <w:r w:rsidRPr="0014362E">
        <w:rPr>
          <w:rFonts w:ascii="Century" w:eastAsia="ＭＳ 明朝" w:hAnsi="Century" w:cs="Times New Roman" w:hint="eastAsia"/>
          <w:b/>
        </w:rPr>
        <w:t>税制勉強会』</w:t>
      </w:r>
    </w:p>
    <w:p w:rsidR="006F2878" w:rsidRDefault="006F2878" w:rsidP="006F2878">
      <w:pPr>
        <w:jc w:val="center"/>
        <w:rPr>
          <w:rFonts w:ascii="Century" w:eastAsia="ＭＳ 明朝" w:hAnsi="Century" w:cs="Times New Roman"/>
          <w:b/>
        </w:rPr>
      </w:pPr>
      <w:r w:rsidRPr="0014362E">
        <w:rPr>
          <w:rFonts w:ascii="Century" w:eastAsia="ＭＳ 明朝" w:hAnsi="Century" w:cs="Times New Roman" w:hint="eastAsia"/>
          <w:b/>
        </w:rPr>
        <w:t>第二十</w:t>
      </w:r>
      <w:r>
        <w:rPr>
          <w:rFonts w:ascii="Century" w:eastAsia="ＭＳ 明朝" w:hAnsi="Century" w:cs="Times New Roman" w:hint="eastAsia"/>
          <w:b/>
        </w:rPr>
        <w:t>三</w:t>
      </w:r>
      <w:r w:rsidRPr="0014362E">
        <w:rPr>
          <w:rFonts w:ascii="Century" w:eastAsia="ＭＳ 明朝" w:hAnsi="Century" w:cs="Times New Roman" w:hint="eastAsia"/>
          <w:b/>
        </w:rPr>
        <w:t>回勉強会（通年内容は</w:t>
      </w:r>
      <w:hyperlink r:id="rId6" w:history="1">
        <w:r w:rsidRPr="0014362E">
          <w:rPr>
            <w:rFonts w:ascii="Century" w:eastAsia="ＭＳ 明朝" w:hAnsi="Century" w:cs="Times New Roman" w:hint="eastAsia"/>
            <w:b/>
            <w:color w:val="0563C1" w:themeColor="hyperlink"/>
            <w:u w:val="single"/>
          </w:rPr>
          <w:t>年表</w:t>
        </w:r>
        <w:r w:rsidRPr="0014362E">
          <w:rPr>
            <w:b/>
            <w:color w:val="0563C1" w:themeColor="hyperlink"/>
            <w:u w:val="single"/>
          </w:rPr>
          <w:t>rev.9</w:t>
        </w:r>
      </w:hyperlink>
      <w:r w:rsidRPr="0014362E">
        <w:rPr>
          <w:b/>
        </w:rPr>
        <w:t>参照方</w:t>
      </w:r>
      <w:r w:rsidRPr="0014362E">
        <w:rPr>
          <w:rFonts w:ascii="Century" w:eastAsia="ＭＳ 明朝" w:hAnsi="Century" w:cs="Times New Roman" w:hint="eastAsia"/>
          <w:b/>
        </w:rPr>
        <w:t>）の準備</w:t>
      </w:r>
    </w:p>
    <w:p w:rsidR="006F2878" w:rsidRDefault="006F2878" w:rsidP="006F2878">
      <w:pPr>
        <w:jc w:val="center"/>
        <w:rPr>
          <w:rFonts w:ascii="Century" w:eastAsia="ＭＳ 明朝" w:hAnsi="Century" w:cs="Times New Roman"/>
          <w:b/>
        </w:rPr>
      </w:pPr>
      <w:r w:rsidRPr="006F2878">
        <w:rPr>
          <w:rFonts w:ascii="Century" w:eastAsia="ＭＳ 明朝" w:hAnsi="Century" w:cs="Times New Roman" w:hint="eastAsia"/>
          <w:b/>
        </w:rPr>
        <w:t>Vatican</w:t>
      </w:r>
      <w:r w:rsidRPr="006F2878">
        <w:rPr>
          <w:rFonts w:ascii="Century" w:eastAsia="ＭＳ 明朝" w:hAnsi="Century" w:cs="Times New Roman" w:hint="eastAsia"/>
          <w:b/>
        </w:rPr>
        <w:t>と</w:t>
      </w:r>
      <w:r w:rsidRPr="006F2878">
        <w:rPr>
          <w:rFonts w:ascii="Century" w:eastAsia="ＭＳ 明朝" w:hAnsi="Century" w:cs="Times New Roman" w:hint="eastAsia"/>
          <w:b/>
        </w:rPr>
        <w:t>IMF</w:t>
      </w:r>
      <w:r w:rsidRPr="006F2878">
        <w:rPr>
          <w:rFonts w:ascii="Century" w:eastAsia="ＭＳ 明朝" w:hAnsi="Century" w:cs="Times New Roman" w:hint="eastAsia"/>
          <w:b/>
        </w:rPr>
        <w:t>の</w:t>
      </w:r>
      <w:r w:rsidRPr="006F2878">
        <w:rPr>
          <w:rFonts w:ascii="Century" w:eastAsia="ＭＳ 明朝" w:hAnsi="Century" w:cs="Times New Roman" w:hint="eastAsia"/>
          <w:b/>
        </w:rPr>
        <w:t>consideration</w:t>
      </w:r>
      <w:r w:rsidRPr="006F2878">
        <w:rPr>
          <w:rFonts w:ascii="Century" w:eastAsia="ＭＳ 明朝" w:hAnsi="Century" w:cs="Times New Roman" w:hint="eastAsia"/>
          <w:b/>
        </w:rPr>
        <w:t>（約因）に関する問答歌</w:t>
      </w:r>
    </w:p>
    <w:p w:rsidR="006F2878" w:rsidRPr="0014362E" w:rsidRDefault="006F2878" w:rsidP="006F2878">
      <w:pPr>
        <w:jc w:val="center"/>
        <w:rPr>
          <w:rFonts w:ascii="Century" w:eastAsia="ＭＳ 明朝" w:hAnsi="Century" w:cs="Times New Roman"/>
          <w:b/>
        </w:rPr>
      </w:pPr>
    </w:p>
    <w:p w:rsidR="006F2878" w:rsidRPr="00ED46E6" w:rsidRDefault="006F2878" w:rsidP="006F2878">
      <w:pPr>
        <w:ind w:firstLineChars="100" w:firstLine="210"/>
        <w:jc w:val="right"/>
      </w:pPr>
      <w:r>
        <w:rPr>
          <w:rFonts w:hint="eastAsia"/>
        </w:rPr>
        <w:t>20160526</w:t>
      </w:r>
      <w:r w:rsidRPr="00ED46E6">
        <w:rPr>
          <w:rFonts w:hint="eastAsia"/>
        </w:rPr>
        <w:t xml:space="preserve"> rev.1 </w:t>
      </w:r>
      <w:r w:rsidRPr="00ED46E6">
        <w:rPr>
          <w:rFonts w:hint="eastAsia"/>
        </w:rPr>
        <w:t>齋藤旬</w:t>
      </w:r>
    </w:p>
    <w:p w:rsidR="0027530A" w:rsidRPr="0027530A" w:rsidRDefault="0027530A" w:rsidP="0027530A"/>
    <w:p w:rsidR="00E41148" w:rsidRDefault="0027530A" w:rsidP="0027530A">
      <w:r>
        <w:t xml:space="preserve">　</w:t>
      </w:r>
      <w:r w:rsidRPr="007E5B24">
        <w:rPr>
          <w:b/>
        </w:rPr>
        <w:t>先週紹介した</w:t>
      </w:r>
      <w:r w:rsidRPr="007E5B24">
        <w:rPr>
          <w:b/>
        </w:rPr>
        <w:t>IMF</w:t>
      </w:r>
      <w:r w:rsidRPr="007E5B24">
        <w:rPr>
          <w:b/>
        </w:rPr>
        <w:t>の論文</w:t>
      </w:r>
      <w:r w:rsidR="00774135">
        <w:rPr>
          <w:b/>
        </w:rPr>
        <w:t>と</w:t>
      </w:r>
      <w:r w:rsidRPr="007E5B24">
        <w:rPr>
          <w:b/>
        </w:rPr>
        <w:t>、</w:t>
      </w:r>
      <w:r w:rsidRPr="007E5B24">
        <w:rPr>
          <w:b/>
        </w:rPr>
        <w:t>Vatican</w:t>
      </w:r>
      <w:r w:rsidRPr="007E5B24">
        <w:rPr>
          <w:b/>
        </w:rPr>
        <w:t>が去年</w:t>
      </w:r>
      <w:r w:rsidR="00AC1327">
        <w:rPr>
          <w:b/>
        </w:rPr>
        <w:t>6</w:t>
      </w:r>
      <w:r w:rsidR="00AC1327">
        <w:rPr>
          <w:b/>
        </w:rPr>
        <w:t>月</w:t>
      </w:r>
      <w:r w:rsidRPr="007E5B24">
        <w:rPr>
          <w:b/>
        </w:rPr>
        <w:t>発表した論文と</w:t>
      </w:r>
      <w:r w:rsidR="00774135">
        <w:rPr>
          <w:b/>
        </w:rPr>
        <w:t>の関係が</w:t>
      </w:r>
      <w:r w:rsidRPr="007E5B24">
        <w:rPr>
          <w:b/>
        </w:rPr>
        <w:t>、</w:t>
      </w:r>
      <w:r w:rsidR="00774135">
        <w:rPr>
          <w:b/>
        </w:rPr>
        <w:t>ちょうど</w:t>
      </w:r>
      <w:r w:rsidRPr="007E5B24">
        <w:rPr>
          <w:b/>
        </w:rPr>
        <w:t>問答歌</w:t>
      </w:r>
      <w:r w:rsidR="003B282D">
        <w:rPr>
          <w:b/>
        </w:rPr>
        <w:t>の関係になっている、という様なことを思いついたので</w:t>
      </w:r>
      <w:r w:rsidR="00774135">
        <w:rPr>
          <w:b/>
        </w:rPr>
        <w:t>、</w:t>
      </w:r>
      <w:r w:rsidR="003B282D">
        <w:rPr>
          <w:b/>
        </w:rPr>
        <w:t>今週は埋め草的にこれを述べる</w:t>
      </w:r>
      <w:r>
        <w:t>。</w:t>
      </w:r>
    </w:p>
    <w:p w:rsidR="00774135" w:rsidRDefault="007E5B24" w:rsidP="00E41148">
      <w:pPr>
        <w:ind w:firstLineChars="100" w:firstLine="210"/>
      </w:pPr>
      <w:r>
        <w:t>問答歌は、山上憶良が万葉集で</w:t>
      </w:r>
      <w:r w:rsidR="003B282D">
        <w:t>詠んだ</w:t>
      </w:r>
      <w:hyperlink r:id="rId7" w:history="1">
        <w:r w:rsidR="003B282D" w:rsidRPr="003B282D">
          <w:rPr>
            <w:rStyle w:val="a7"/>
          </w:rPr>
          <w:t>貧窮問答歌</w:t>
        </w:r>
      </w:hyperlink>
      <w:r w:rsidR="003B282D">
        <w:t>が典型例。</w:t>
      </w:r>
      <w:hyperlink r:id="rId8" w:history="1">
        <w:r w:rsidR="00774135" w:rsidRPr="00774135">
          <w:rPr>
            <w:rStyle w:val="a7"/>
          </w:rPr>
          <w:t>ココ</w:t>
        </w:r>
      </w:hyperlink>
      <w:r w:rsidR="00774135">
        <w:t>にもあるとおり</w:t>
      </w:r>
      <w:r w:rsidR="003B282D">
        <w:t>世の中の矛盾をテーマに</w:t>
      </w:r>
      <w:r w:rsidR="00774135">
        <w:t>、それに抗する力を持たない者達が憂さ晴らしのために詠んだ</w:t>
      </w:r>
      <w:r w:rsidR="003B282D">
        <w:t>作例が</w:t>
      </w:r>
      <w:r w:rsidR="00774135">
        <w:t>多かったらしい。</w:t>
      </w:r>
    </w:p>
    <w:p w:rsidR="0027530A" w:rsidRDefault="00774135" w:rsidP="00774135">
      <w:pPr>
        <w:ind w:firstLineChars="100" w:firstLine="210"/>
      </w:pPr>
      <w:r>
        <w:t>Vatican</w:t>
      </w:r>
      <w:r w:rsidR="007E5B24">
        <w:t>の</w:t>
      </w:r>
      <w:hyperlink r:id="rId9" w:history="1">
        <w:r w:rsidR="007E5B24" w:rsidRPr="007E5B24">
          <w:rPr>
            <w:rStyle w:val="a7"/>
            <w:i/>
          </w:rPr>
          <w:t>Laudato Si’</w:t>
        </w:r>
      </w:hyperlink>
      <w:r w:rsidR="007E5B24">
        <w:t>、特にその</w:t>
      </w:r>
      <w:r w:rsidR="007E5B24">
        <w:t>195</w:t>
      </w:r>
      <w:r w:rsidR="007E5B24">
        <w:t>段落が「問」歌に</w:t>
      </w:r>
      <w:r w:rsidR="00E41148">
        <w:t>なり</w:t>
      </w:r>
      <w:r>
        <w:t>、</w:t>
      </w:r>
      <w:r>
        <w:t>IMF</w:t>
      </w:r>
      <w:r w:rsidR="007E5B24">
        <w:t>の</w:t>
      </w:r>
      <w:hyperlink r:id="rId10" w:history="1">
        <w:r w:rsidR="007E5B24" w:rsidRPr="007E5B24">
          <w:rPr>
            <w:rStyle w:val="a7"/>
            <w:i/>
          </w:rPr>
          <w:t>Virtual Currencies and Beyond: Initial Considerations</w:t>
        </w:r>
      </w:hyperlink>
      <w:r>
        <w:rPr>
          <w:i/>
        </w:rPr>
        <w:t xml:space="preserve">　</w:t>
      </w:r>
      <w:r>
        <w:rPr>
          <w:rFonts w:hint="eastAsia"/>
        </w:rPr>
        <w:t>特にそのタイトルが</w:t>
      </w:r>
      <w:r w:rsidR="007E5B24">
        <w:rPr>
          <w:rFonts w:hint="eastAsia"/>
        </w:rPr>
        <w:t>「答」歌になっている</w:t>
      </w:r>
      <w:r>
        <w:rPr>
          <w:rFonts w:hint="eastAsia"/>
        </w:rPr>
        <w:t>として、私はこの二つを、</w:t>
      </w:r>
      <w:r w:rsidR="006F2878">
        <w:rPr>
          <w:rFonts w:hint="eastAsia"/>
        </w:rPr>
        <w:t>約因</w:t>
      </w:r>
      <w:r>
        <w:rPr>
          <w:rFonts w:hint="eastAsia"/>
        </w:rPr>
        <w:t>問答歌と呼びたい</w:t>
      </w:r>
      <w:r w:rsidR="007E5B24">
        <w:rPr>
          <w:rFonts w:hint="eastAsia"/>
        </w:rPr>
        <w:t>。</w:t>
      </w:r>
      <w:r w:rsidR="009A2BC3">
        <w:rPr>
          <w:rFonts w:hint="eastAsia"/>
        </w:rPr>
        <w:t>英語で言うならさしずめ、</w:t>
      </w:r>
      <w:r w:rsidR="009A2BC3">
        <w:rPr>
          <w:rFonts w:hint="eastAsia"/>
        </w:rPr>
        <w:t>Responsorial Psalm on considerations</w:t>
      </w:r>
      <w:r w:rsidR="009A2BC3">
        <w:rPr>
          <w:rFonts w:hint="eastAsia"/>
        </w:rPr>
        <w:t>と言った所。</w:t>
      </w:r>
    </w:p>
    <w:p w:rsidR="00774135" w:rsidRDefault="00774135" w:rsidP="00774135">
      <w:pPr>
        <w:ind w:firstLineChars="100" w:firstLine="210"/>
      </w:pPr>
      <w:r>
        <w:t>以下に、問歌</w:t>
      </w:r>
      <w:r w:rsidR="00AC1327">
        <w:t>と</w:t>
      </w:r>
      <w:r>
        <w:t>答歌</w:t>
      </w:r>
      <w:r w:rsidR="00AC1327">
        <w:t>の</w:t>
      </w:r>
      <w:r>
        <w:t>部分を挙げるので読者の方はめいめい自由に鑑賞頂きたい。</w:t>
      </w:r>
    </w:p>
    <w:p w:rsidR="00774135" w:rsidRDefault="00774135" w:rsidP="00774135">
      <w:pPr>
        <w:ind w:firstLineChars="100" w:firstLine="210"/>
      </w:pPr>
    </w:p>
    <w:p w:rsidR="007E5B24" w:rsidRPr="00520B4B" w:rsidRDefault="00520B4B" w:rsidP="0027530A">
      <w:pPr>
        <w:rPr>
          <w:b/>
        </w:rPr>
      </w:pPr>
      <w:r w:rsidRPr="00520B4B">
        <w:rPr>
          <w:b/>
        </w:rPr>
        <w:t>「問歌」：</w:t>
      </w:r>
      <w:hyperlink r:id="rId11" w:history="1">
        <w:r w:rsidRPr="00520B4B">
          <w:rPr>
            <w:rStyle w:val="a7"/>
            <w:b/>
            <w:i/>
          </w:rPr>
          <w:t>Laudato Si’</w:t>
        </w:r>
      </w:hyperlink>
      <w:r w:rsidRPr="00520B4B">
        <w:rPr>
          <w:b/>
        </w:rPr>
        <w:t xml:space="preserve"> 195</w:t>
      </w:r>
      <w:r w:rsidRPr="00520B4B">
        <w:rPr>
          <w:b/>
        </w:rPr>
        <w:t>段落、</w:t>
      </w:r>
      <w:hyperlink r:id="rId12" w:history="1">
        <w:r w:rsidRPr="00520B4B">
          <w:rPr>
            <w:rStyle w:val="a7"/>
            <w:b/>
          </w:rPr>
          <w:t>齋藤訳</w:t>
        </w:r>
      </w:hyperlink>
      <w:r w:rsidRPr="00520B4B">
        <w:rPr>
          <w:b/>
        </w:rPr>
        <w:t>と原文</w:t>
      </w:r>
    </w:p>
    <w:p w:rsidR="0027530A" w:rsidRPr="0027530A" w:rsidRDefault="007E5B24" w:rsidP="0027530A">
      <w:r>
        <w:t xml:space="preserve">　</w:t>
      </w:r>
      <w:r w:rsidR="0027530A" w:rsidRPr="0027530A">
        <w:rPr>
          <w:b/>
          <w:u w:val="single"/>
        </w:rPr>
        <w:t>195</w:t>
      </w:r>
      <w:r w:rsidR="0027530A" w:rsidRPr="0027530A">
        <w:t xml:space="preserve">. </w:t>
      </w:r>
      <w:r w:rsidR="0027530A" w:rsidRPr="0027530A">
        <w:t>利益最大化原則は、しばしば他の約因（</w:t>
      </w:r>
      <w:r w:rsidR="0027530A" w:rsidRPr="0027530A">
        <w:rPr>
          <w:color w:val="FF0000"/>
        </w:rPr>
        <w:t>consideration</w:t>
      </w:r>
      <w:r w:rsidR="0027530A" w:rsidRPr="0027530A">
        <w:t>）</w:t>
      </w:r>
      <w:r w:rsidR="0027530A" w:rsidRPr="0027530A">
        <w:rPr>
          <w:rFonts w:hint="eastAsia"/>
        </w:rPr>
        <w:t>から切り離されて一人歩きを始めます。利益最大化原則が一人歩きを始めるのは、</w:t>
      </w:r>
      <w:r w:rsidR="0027530A" w:rsidRPr="0027530A">
        <w:rPr>
          <w:rFonts w:hint="eastAsia"/>
        </w:rPr>
        <w:t>economy</w:t>
      </w:r>
      <w:r w:rsidR="0027530A" w:rsidRPr="0027530A">
        <w:rPr>
          <w:rFonts w:hint="eastAsia"/>
        </w:rPr>
        <w:t>という概念の本来の意味が誤解されているからです。例えば、何か生産が増加しているとき、それが将来資源を先食いして、あるいは、健全な環境を毀損して為されたものであるかどうかに関心はほとんど払われません。森林伐採により生産が増加しているとき、土壌の砂漠化、生物多様性への悪影響、環境汚染拡大、これらによる損失を計算する人は極めてわずかです。一言で言えば</w:t>
      </w:r>
      <w:r w:rsidR="0027530A" w:rsidRPr="0027530A">
        <w:rPr>
          <w:rFonts w:hint="eastAsia"/>
        </w:rPr>
        <w:t>businesses</w:t>
      </w:r>
      <w:r w:rsidR="0027530A" w:rsidRPr="0027530A">
        <w:rPr>
          <w:rFonts w:hint="eastAsia"/>
        </w:rPr>
        <w:t>とは、関連する</w:t>
      </w:r>
      <w:r w:rsidR="0027530A" w:rsidRPr="0027530A">
        <w:rPr>
          <w:rFonts w:hint="eastAsia"/>
        </w:rPr>
        <w:t>costs</w:t>
      </w:r>
      <w:r w:rsidR="0027530A" w:rsidRPr="0027530A">
        <w:rPr>
          <w:rFonts w:hint="eastAsia"/>
        </w:rPr>
        <w:t>の断片だけを計算し支払い、利益が出るものを指しています。本来は、「分かち合った環境資源を消費することの経済的および社会的</w:t>
      </w:r>
      <w:r w:rsidR="0027530A" w:rsidRPr="0027530A">
        <w:rPr>
          <w:rFonts w:hint="eastAsia"/>
        </w:rPr>
        <w:t>costs</w:t>
      </w:r>
      <w:r w:rsidR="0027530A" w:rsidRPr="0027530A">
        <w:rPr>
          <w:rFonts w:hint="eastAsia"/>
        </w:rPr>
        <w:t>が、透明性をもって認識され将来世代や他民族でなく該</w:t>
      </w:r>
      <w:r w:rsidR="0027530A" w:rsidRPr="0027530A">
        <w:rPr>
          <w:rFonts w:hint="eastAsia"/>
        </w:rPr>
        <w:t>costs</w:t>
      </w:r>
      <w:r w:rsidR="0027530A" w:rsidRPr="0027530A">
        <w:rPr>
          <w:rFonts w:hint="eastAsia"/>
        </w:rPr>
        <w:t>を発生させた者達に負担される</w:t>
      </w:r>
      <w:r w:rsidR="0027530A" w:rsidRPr="0027530A">
        <w:rPr>
          <w:vertAlign w:val="superscript"/>
        </w:rPr>
        <w:footnoteReference w:id="1"/>
      </w:r>
      <w:r w:rsidR="0027530A" w:rsidRPr="0027530A">
        <w:rPr>
          <w:rFonts w:hint="eastAsia"/>
        </w:rPr>
        <w:t>」ならば、その</w:t>
      </w:r>
      <w:r w:rsidR="0027530A" w:rsidRPr="0027530A">
        <w:rPr>
          <w:rFonts w:hint="eastAsia"/>
        </w:rPr>
        <w:t>business</w:t>
      </w:r>
      <w:r w:rsidR="0027530A" w:rsidRPr="0027530A">
        <w:rPr>
          <w:rFonts w:hint="eastAsia"/>
        </w:rPr>
        <w:t>活動は</w:t>
      </w:r>
      <w:r w:rsidR="0027530A" w:rsidRPr="0027530A">
        <w:rPr>
          <w:rFonts w:hint="eastAsia"/>
        </w:rPr>
        <w:t>ethical</w:t>
      </w:r>
      <w:r w:rsidR="0027530A" w:rsidRPr="0027530A">
        <w:rPr>
          <w:rFonts w:hint="eastAsia"/>
        </w:rPr>
        <w:t>であると考えられます。しかしながら現実に稼働している資源配賦の論理組立ては、市場（</w:t>
      </w:r>
      <w:r w:rsidR="0027530A" w:rsidRPr="0027530A">
        <w:rPr>
          <w:rFonts w:hint="eastAsia"/>
        </w:rPr>
        <w:t>market</w:t>
      </w:r>
      <w:r w:rsidR="0027530A" w:rsidRPr="0027530A">
        <w:rPr>
          <w:rFonts w:hint="eastAsia"/>
        </w:rPr>
        <w:t>）による配賦であれ国家（</w:t>
      </w:r>
      <w:r w:rsidR="0027530A" w:rsidRPr="0027530A">
        <w:rPr>
          <w:rFonts w:hint="eastAsia"/>
        </w:rPr>
        <w:t>state</w:t>
      </w:r>
      <w:r w:rsidR="0027530A" w:rsidRPr="0027530A">
        <w:rPr>
          <w:rFonts w:hint="eastAsia"/>
        </w:rPr>
        <w:t>）の中央集権的計画による配賦であれ、その時々に現われた</w:t>
      </w:r>
      <w:r w:rsidR="0027530A" w:rsidRPr="0027530A">
        <w:rPr>
          <w:rFonts w:hint="eastAsia"/>
        </w:rPr>
        <w:t>needs</w:t>
      </w:r>
      <w:r w:rsidR="0027530A" w:rsidRPr="0027530A">
        <w:rPr>
          <w:rFonts w:hint="eastAsia"/>
        </w:rPr>
        <w:t>への対応をただ単に静的に分析することによって為されているのです。</w:t>
      </w:r>
    </w:p>
    <w:p w:rsidR="009F6DAF" w:rsidRDefault="009F6DAF"/>
    <w:p w:rsidR="0027530A" w:rsidRDefault="0027530A" w:rsidP="00520B4B">
      <w:pPr>
        <w:ind w:firstLineChars="100" w:firstLine="211"/>
      </w:pPr>
      <w:r w:rsidRPr="00E41148">
        <w:rPr>
          <w:b/>
          <w:u w:val="single"/>
        </w:rPr>
        <w:lastRenderedPageBreak/>
        <w:t>195</w:t>
      </w:r>
      <w:r w:rsidRPr="0027530A">
        <w:t xml:space="preserve">. The principle of the maximization of profits, frequently isolated from other </w:t>
      </w:r>
      <w:r w:rsidRPr="0027530A">
        <w:rPr>
          <w:color w:val="FF0000"/>
        </w:rPr>
        <w:t>considerations</w:t>
      </w:r>
      <w:r w:rsidRPr="0027530A">
        <w:t>, reflects a misunderstanding of the very concept of the economy. As long as production is increased, little concern is given to whether it is at the cost of future resources or the health of the environment; as long as the clearing of a forest increases production, no one calculates the losses entailed in the desertification of the land, the harm done to biodiversity or the increased pollution. In a word, businesses profit by calculating and paying only a fraction of the costs involved. Yet only when “the economic and social costs of using up shared environmental resources are recognized with transparency and fully borne by those who incur them, not by other peoples or future generations”,[138] can those actions be considered ethical. An instrumental way of reasoning, which provides a purely static analysis of realities in the service of present needs, is at work whether resources are allocated by the market or by state central planning.</w:t>
      </w:r>
    </w:p>
    <w:p w:rsidR="00520B4B" w:rsidRDefault="00520B4B" w:rsidP="00520B4B">
      <w:pPr>
        <w:ind w:firstLineChars="100" w:firstLine="210"/>
      </w:pPr>
    </w:p>
    <w:p w:rsidR="00520B4B" w:rsidRDefault="00520B4B" w:rsidP="00520B4B">
      <w:pPr>
        <w:ind w:firstLineChars="100" w:firstLine="211"/>
      </w:pPr>
      <w:r w:rsidRPr="00520B4B">
        <w:rPr>
          <w:b/>
        </w:rPr>
        <w:t>「答歌」：</w:t>
      </w:r>
      <w:r w:rsidRPr="00520B4B">
        <w:rPr>
          <w:b/>
        </w:rPr>
        <w:t>Virtual Currencies and Beyond: Initial Considerations</w:t>
      </w:r>
      <w:r w:rsidRPr="00520B4B">
        <w:rPr>
          <w:b/>
        </w:rPr>
        <w:t>、このタイトルの勝手な和訳</w:t>
      </w:r>
      <w:r>
        <w:t>。</w:t>
      </w:r>
      <w:r w:rsidR="00AC1327">
        <w:t>（普通の訳：仮想通貨を超えて：最初の考察）</w:t>
      </w:r>
    </w:p>
    <w:p w:rsidR="00520B4B" w:rsidRDefault="00E41148" w:rsidP="00520B4B">
      <w:pPr>
        <w:ind w:firstLineChars="100" w:firstLine="210"/>
      </w:pPr>
      <w:r>
        <w:rPr>
          <w:rFonts w:hint="eastAsia"/>
        </w:rPr>
        <w:t>私の勝手訳：</w:t>
      </w:r>
      <w:r w:rsidR="00AC1327">
        <w:rPr>
          <w:rFonts w:hint="eastAsia"/>
        </w:rPr>
        <w:t>『</w:t>
      </w:r>
      <w:r w:rsidR="00AC1327" w:rsidRPr="006F2878">
        <w:rPr>
          <w:rFonts w:hint="eastAsia"/>
          <w:b/>
        </w:rPr>
        <w:t>個別内発善による通貨と約束された次の世界：元来の約因』</w:t>
      </w:r>
      <w:r w:rsidR="00AC1327">
        <w:rPr>
          <w:rFonts w:hint="eastAsia"/>
        </w:rPr>
        <w:t>。先週説明しなかったが、</w:t>
      </w:r>
      <w:r w:rsidR="00AC1327">
        <w:rPr>
          <w:rFonts w:hint="eastAsia"/>
        </w:rPr>
        <w:t>beyond</w:t>
      </w:r>
      <w:r w:rsidR="006F2878">
        <w:rPr>
          <w:rFonts w:hint="eastAsia"/>
        </w:rPr>
        <w:t>に</w:t>
      </w:r>
      <w:r w:rsidR="00AC1327">
        <w:rPr>
          <w:rFonts w:hint="eastAsia"/>
        </w:rPr>
        <w:t>は名詞形として「あると信じられる死後の世界、あの世、天国」「人知の及ばない遙かかなた」</w:t>
      </w:r>
      <w:r w:rsidR="006F2878">
        <w:rPr>
          <w:rFonts w:hint="eastAsia"/>
        </w:rPr>
        <w:t>の意味がある。</w:t>
      </w:r>
    </w:p>
    <w:p w:rsidR="006F2878" w:rsidRDefault="006F2878" w:rsidP="00520B4B">
      <w:pPr>
        <w:ind w:firstLineChars="100" w:firstLine="210"/>
      </w:pPr>
      <w:r>
        <w:rPr>
          <w:rFonts w:hint="eastAsia"/>
        </w:rPr>
        <w:t>この論文は</w:t>
      </w:r>
      <w:r>
        <w:rPr>
          <w:rFonts w:hint="eastAsia"/>
        </w:rPr>
        <w:t>IMF</w:t>
      </w:r>
      <w:r>
        <w:rPr>
          <w:rFonts w:hint="eastAsia"/>
        </w:rPr>
        <w:t>の</w:t>
      </w:r>
      <w:hyperlink r:id="rId13" w:history="1">
        <w:r w:rsidRPr="006F2878">
          <w:rPr>
            <w:rStyle w:val="a7"/>
            <w:rFonts w:hint="eastAsia"/>
          </w:rPr>
          <w:t>ラガルド総裁自身が今年のダボス会議で</w:t>
        </w:r>
      </w:hyperlink>
      <w:r>
        <w:rPr>
          <w:rFonts w:hint="eastAsia"/>
        </w:rPr>
        <w:t>発表した。</w:t>
      </w:r>
      <w:r w:rsidR="009A2BC3">
        <w:rPr>
          <w:rFonts w:hint="eastAsia"/>
        </w:rPr>
        <w:t>このダボス会議の</w:t>
      </w:r>
      <w:r>
        <w:t>K</w:t>
      </w:r>
      <w:r>
        <w:rPr>
          <w:rFonts w:hint="eastAsia"/>
        </w:rPr>
        <w:t>eynote</w:t>
      </w:r>
      <w:r>
        <w:rPr>
          <w:rFonts w:hint="eastAsia"/>
        </w:rPr>
        <w:t>は、</w:t>
      </w:r>
      <w:hyperlink r:id="rId14" w:history="1">
        <w:r w:rsidRPr="009A2BC3">
          <w:rPr>
            <w:rStyle w:val="a7"/>
            <w:rFonts w:hint="eastAsia"/>
          </w:rPr>
          <w:t>ここ</w:t>
        </w:r>
      </w:hyperlink>
      <w:r>
        <w:rPr>
          <w:rFonts w:hint="eastAsia"/>
        </w:rPr>
        <w:t>に訳をアップしたが、フランシスコ教皇のスピーチをタークソン枢機卿が代読した。</w:t>
      </w:r>
      <w:r w:rsidR="00E41148">
        <w:rPr>
          <w:rFonts w:hint="eastAsia"/>
        </w:rPr>
        <w:t>こういったことを考えると、</w:t>
      </w:r>
      <w:r>
        <w:rPr>
          <w:rFonts w:hint="eastAsia"/>
        </w:rPr>
        <w:t>いよいよもって勝手訳の方が正しい解釈である気がする。</w:t>
      </w:r>
    </w:p>
    <w:p w:rsidR="00C13525" w:rsidRDefault="00C13525" w:rsidP="00520B4B">
      <w:pPr>
        <w:ind w:firstLineChars="100" w:firstLine="210"/>
        <w:rPr>
          <w:rFonts w:hint="eastAsia"/>
        </w:rPr>
      </w:pPr>
      <w:bookmarkStart w:id="0" w:name="_GoBack"/>
      <w:bookmarkEnd w:id="0"/>
    </w:p>
    <w:p w:rsidR="00C13525" w:rsidRDefault="00C13525" w:rsidP="00C13525">
      <w:pPr>
        <w:ind w:firstLineChars="100" w:firstLine="211"/>
      </w:pPr>
      <w:r w:rsidRPr="00A03449">
        <w:rPr>
          <w:rFonts w:hint="eastAsia"/>
          <w:b/>
        </w:rPr>
        <w:t>IR4</w:t>
      </w:r>
      <w:r>
        <w:rPr>
          <w:rFonts w:hint="eastAsia"/>
          <w:b/>
        </w:rPr>
        <w:t>（第四次産業革命）和訳</w:t>
      </w:r>
      <w:r>
        <w:rPr>
          <w:rFonts w:hint="eastAsia"/>
          <w:b/>
        </w:rPr>
        <w:t>rev.</w:t>
      </w:r>
      <w:r>
        <w:rPr>
          <w:rFonts w:hint="eastAsia"/>
          <w:b/>
        </w:rPr>
        <w:t>5</w:t>
      </w:r>
      <w:r>
        <w:rPr>
          <w:rFonts w:hint="eastAsia"/>
          <w:b/>
        </w:rPr>
        <w:t>を</w:t>
      </w:r>
      <w:hyperlink r:id="rId15" w:history="1">
        <w:r w:rsidRPr="00A03449">
          <w:rPr>
            <w:rStyle w:val="a7"/>
            <w:rFonts w:hint="eastAsia"/>
          </w:rPr>
          <w:t>作業ファイル</w:t>
        </w:r>
      </w:hyperlink>
      <w:r>
        <w:rPr>
          <w:rFonts w:hint="eastAsia"/>
        </w:rPr>
        <w:t>にアップしておいた。今回は：</w:t>
      </w:r>
    </w:p>
    <w:p w:rsidR="00C13525" w:rsidRDefault="00C13525" w:rsidP="00C13525">
      <w:pPr>
        <w:ind w:firstLineChars="100" w:firstLine="210"/>
      </w:pPr>
    </w:p>
    <w:p w:rsidR="00C13525" w:rsidRPr="00C13525" w:rsidRDefault="00C13525" w:rsidP="00C13525">
      <w:pPr>
        <w:widowControl/>
        <w:tabs>
          <w:tab w:val="right" w:leader="dot" w:pos="8494"/>
        </w:tabs>
        <w:ind w:firstLine="360"/>
        <w:jc w:val="left"/>
        <w:rPr>
          <w:rFonts w:ascii="Century" w:eastAsia="ＭＳ 明朝" w:hAnsi="Century" w:cs="Times New Roman"/>
          <w:noProof/>
          <w:color w:val="FF0000"/>
        </w:rPr>
      </w:pPr>
      <w:r w:rsidRPr="00C13525">
        <w:rPr>
          <w:rFonts w:ascii="Century" w:eastAsia="ＭＳ 明朝" w:hAnsi="Century" w:cs="Times New Roman"/>
          <w:noProof/>
          <w:color w:val="FF0000"/>
          <w:kern w:val="0"/>
          <w:sz w:val="22"/>
          <w:u w:val="single"/>
        </w:rPr>
        <w:t>3. Impact</w:t>
      </w:r>
      <w:r w:rsidRPr="00C13525">
        <w:rPr>
          <w:rFonts w:ascii="Century" w:eastAsia="ＭＳ 明朝" w:hAnsi="Century" w:cs="Times New Roman"/>
          <w:noProof/>
          <w:webHidden/>
          <w:color w:val="FF0000"/>
          <w:kern w:val="0"/>
          <w:sz w:val="22"/>
        </w:rPr>
        <w:tab/>
      </w:r>
      <w:r>
        <w:rPr>
          <w:rFonts w:ascii="Century" w:eastAsia="ＭＳ 明朝" w:hAnsi="Century" w:cs="Times New Roman"/>
          <w:noProof/>
          <w:webHidden/>
          <w:color w:val="FF0000"/>
          <w:kern w:val="0"/>
          <w:sz w:val="22"/>
        </w:rPr>
        <w:t>23</w:t>
      </w:r>
    </w:p>
    <w:p w:rsidR="00C13525" w:rsidRPr="00C13525" w:rsidRDefault="00C13525" w:rsidP="00C13525">
      <w:pPr>
        <w:widowControl/>
        <w:tabs>
          <w:tab w:val="right" w:leader="dot" w:pos="8494"/>
        </w:tabs>
        <w:ind w:leftChars="100" w:left="210" w:firstLine="360"/>
        <w:jc w:val="left"/>
        <w:rPr>
          <w:rFonts w:ascii="Century" w:eastAsia="ＭＳ 明朝" w:hAnsi="Century" w:cs="Times New Roman"/>
          <w:noProof/>
          <w:color w:val="FF0000"/>
        </w:rPr>
      </w:pPr>
      <w:r w:rsidRPr="00C13525">
        <w:rPr>
          <w:rFonts w:ascii="Century" w:eastAsia="ＭＳ 明朝" w:hAnsi="Century" w:cs="Times New Roman"/>
          <w:noProof/>
          <w:color w:val="FF0000"/>
          <w:kern w:val="0"/>
          <w:sz w:val="22"/>
          <w:u w:val="single"/>
        </w:rPr>
        <w:t>3.1 Economy</w:t>
      </w:r>
      <w:r w:rsidRPr="00C13525">
        <w:rPr>
          <w:rFonts w:ascii="Century" w:eastAsia="ＭＳ 明朝" w:hAnsi="Century" w:cs="Times New Roman"/>
          <w:noProof/>
          <w:webHidden/>
          <w:color w:val="FF0000"/>
          <w:kern w:val="0"/>
          <w:sz w:val="22"/>
        </w:rPr>
        <w:tab/>
      </w:r>
      <w:r>
        <w:rPr>
          <w:rFonts w:ascii="Century" w:eastAsia="ＭＳ 明朝" w:hAnsi="Century" w:cs="Times New Roman"/>
          <w:noProof/>
          <w:webHidden/>
          <w:color w:val="FF0000"/>
          <w:kern w:val="0"/>
          <w:sz w:val="22"/>
        </w:rPr>
        <w:t>23</w:t>
      </w:r>
    </w:p>
    <w:p w:rsidR="00C13525" w:rsidRPr="00C13525" w:rsidRDefault="00C13525" w:rsidP="00C13525">
      <w:pPr>
        <w:widowControl/>
        <w:tabs>
          <w:tab w:val="right" w:leader="dot" w:pos="8494"/>
        </w:tabs>
        <w:ind w:leftChars="200" w:left="420" w:firstLine="360"/>
        <w:jc w:val="left"/>
        <w:rPr>
          <w:rFonts w:ascii="Century" w:eastAsia="ＭＳ 明朝" w:hAnsi="Century" w:cs="Times New Roman"/>
          <w:noProof/>
          <w:color w:val="FF0000"/>
        </w:rPr>
      </w:pPr>
      <w:r w:rsidRPr="00C13525">
        <w:rPr>
          <w:rFonts w:ascii="Century" w:eastAsia="ＭＳ 明朝" w:hAnsi="Century" w:cs="Times New Roman"/>
          <w:b/>
          <w:noProof/>
          <w:color w:val="FF0000"/>
          <w:kern w:val="0"/>
          <w:sz w:val="22"/>
          <w:u w:val="single"/>
        </w:rPr>
        <w:t>3.1.1 Growth</w:t>
      </w:r>
      <w:r w:rsidRPr="00C13525">
        <w:rPr>
          <w:rFonts w:ascii="Century" w:eastAsia="ＭＳ 明朝" w:hAnsi="Century" w:cs="Times New Roman" w:hint="eastAsia"/>
          <w:b/>
          <w:noProof/>
          <w:color w:val="FF0000"/>
          <w:kern w:val="0"/>
          <w:sz w:val="22"/>
          <w:u w:val="single"/>
        </w:rPr>
        <w:t xml:space="preserve">　成長</w:t>
      </w:r>
      <w:r w:rsidRPr="00C13525">
        <w:rPr>
          <w:rFonts w:ascii="Century" w:eastAsia="ＭＳ 明朝" w:hAnsi="Century" w:cs="Times New Roman"/>
          <w:b/>
          <w:noProof/>
          <w:webHidden/>
          <w:color w:val="FF0000"/>
          <w:kern w:val="0"/>
          <w:sz w:val="22"/>
        </w:rPr>
        <w:tab/>
      </w:r>
      <w:r>
        <w:rPr>
          <w:rFonts w:ascii="Century" w:eastAsia="ＭＳ 明朝" w:hAnsi="Century" w:cs="Times New Roman"/>
          <w:b/>
          <w:noProof/>
          <w:webHidden/>
          <w:color w:val="FF0000"/>
          <w:kern w:val="0"/>
          <w:sz w:val="22"/>
        </w:rPr>
        <w:t>23</w:t>
      </w:r>
    </w:p>
    <w:p w:rsidR="00C13525" w:rsidRPr="00C13525" w:rsidRDefault="00C13525" w:rsidP="00C13525">
      <w:pPr>
        <w:widowControl/>
        <w:tabs>
          <w:tab w:val="right" w:leader="dot" w:pos="8494"/>
        </w:tabs>
        <w:ind w:leftChars="300" w:left="630" w:firstLine="360"/>
        <w:jc w:val="left"/>
        <w:rPr>
          <w:rFonts w:ascii="Century" w:eastAsia="ＭＳ 明朝" w:hAnsi="Century" w:cs="Times New Roman"/>
          <w:noProof/>
          <w:color w:val="FF0000"/>
        </w:rPr>
      </w:pPr>
      <w:r w:rsidRPr="00C13525">
        <w:rPr>
          <w:rFonts w:ascii="Century" w:eastAsia="ＭＳ 明朝" w:hAnsi="Century" w:cs="Times New Roman"/>
          <w:noProof/>
          <w:color w:val="FF0000"/>
          <w:kern w:val="0"/>
          <w:sz w:val="22"/>
          <w:u w:val="single"/>
        </w:rPr>
        <w:t xml:space="preserve">Aging </w:t>
      </w:r>
      <w:r w:rsidRPr="00C13525">
        <w:rPr>
          <w:rFonts w:ascii="Century" w:eastAsia="ＭＳ 明朝" w:hAnsi="Century" w:cs="Times New Roman" w:hint="eastAsia"/>
          <w:noProof/>
          <w:color w:val="FF0000"/>
          <w:kern w:val="0"/>
          <w:sz w:val="22"/>
          <w:u w:val="single"/>
        </w:rPr>
        <w:t>高齢化</w:t>
      </w:r>
      <w:r w:rsidRPr="00C13525">
        <w:rPr>
          <w:rFonts w:ascii="Century" w:eastAsia="ＭＳ 明朝" w:hAnsi="Century" w:cs="Times New Roman"/>
          <w:noProof/>
          <w:webHidden/>
          <w:color w:val="FF0000"/>
          <w:kern w:val="0"/>
          <w:sz w:val="22"/>
        </w:rPr>
        <w:tab/>
      </w:r>
      <w:r>
        <w:rPr>
          <w:rFonts w:ascii="Century" w:eastAsia="ＭＳ 明朝" w:hAnsi="Century" w:cs="Times New Roman"/>
          <w:noProof/>
          <w:webHidden/>
          <w:color w:val="FF0000"/>
          <w:kern w:val="0"/>
          <w:sz w:val="22"/>
        </w:rPr>
        <w:t>25</w:t>
      </w:r>
    </w:p>
    <w:p w:rsidR="00C13525" w:rsidRPr="00C13525" w:rsidRDefault="00C13525" w:rsidP="00C13525">
      <w:pPr>
        <w:ind w:firstLineChars="100" w:firstLine="210"/>
      </w:pPr>
    </w:p>
    <w:p w:rsidR="00C13525" w:rsidRDefault="00C13525" w:rsidP="00C13525">
      <w:r>
        <w:rPr>
          <w:rFonts w:hint="eastAsia"/>
        </w:rPr>
        <w:t>を和訳した。</w:t>
      </w:r>
    </w:p>
    <w:p w:rsidR="006F2878" w:rsidRDefault="006F2878" w:rsidP="00520B4B">
      <w:pPr>
        <w:ind w:firstLineChars="100" w:firstLine="210"/>
      </w:pPr>
    </w:p>
    <w:p w:rsidR="006F2878" w:rsidRPr="00520B4B" w:rsidRDefault="006F2878" w:rsidP="006F2878">
      <w:pPr>
        <w:ind w:firstLineChars="100" w:firstLine="210"/>
        <w:jc w:val="right"/>
      </w:pPr>
      <w:r>
        <w:t>今週は以上。来週も請うご期待。</w:t>
      </w:r>
    </w:p>
    <w:sectPr w:rsidR="006F2878" w:rsidRPr="00520B4B">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CC" w:rsidRDefault="006C15CC" w:rsidP="0027530A">
      <w:r>
        <w:separator/>
      </w:r>
    </w:p>
  </w:endnote>
  <w:endnote w:type="continuationSeparator" w:id="0">
    <w:p w:rsidR="006C15CC" w:rsidRDefault="006C15CC" w:rsidP="0027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916524"/>
      <w:docPartObj>
        <w:docPartGallery w:val="Page Numbers (Bottom of Page)"/>
        <w:docPartUnique/>
      </w:docPartObj>
    </w:sdtPr>
    <w:sdtEndPr/>
    <w:sdtContent>
      <w:p w:rsidR="006F2878" w:rsidRDefault="006F2878">
        <w:pPr>
          <w:pStyle w:val="a5"/>
          <w:jc w:val="center"/>
        </w:pPr>
        <w:r>
          <w:fldChar w:fldCharType="begin"/>
        </w:r>
        <w:r>
          <w:instrText>PAGE   \* MERGEFORMAT</w:instrText>
        </w:r>
        <w:r>
          <w:fldChar w:fldCharType="separate"/>
        </w:r>
        <w:r w:rsidR="00C13525" w:rsidRPr="00C13525">
          <w:rPr>
            <w:noProof/>
            <w:lang w:val="ja-JP"/>
          </w:rPr>
          <w:t>2</w:t>
        </w:r>
        <w:r>
          <w:fldChar w:fldCharType="end"/>
        </w:r>
      </w:p>
    </w:sdtContent>
  </w:sdt>
  <w:p w:rsidR="006F2878" w:rsidRDefault="006F28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CC" w:rsidRDefault="006C15CC" w:rsidP="0027530A">
      <w:r>
        <w:separator/>
      </w:r>
    </w:p>
  </w:footnote>
  <w:footnote w:type="continuationSeparator" w:id="0">
    <w:p w:rsidR="006C15CC" w:rsidRDefault="006C15CC" w:rsidP="0027530A">
      <w:r>
        <w:continuationSeparator/>
      </w:r>
    </w:p>
  </w:footnote>
  <w:footnote w:id="1">
    <w:p w:rsidR="0027530A" w:rsidRDefault="0027530A" w:rsidP="0027530A">
      <w:pPr>
        <w:pStyle w:val="a8"/>
        <w:jc w:val="both"/>
      </w:pPr>
      <w:r>
        <w:rPr>
          <w:rStyle w:val="aa"/>
        </w:rPr>
        <w:footnoteRef/>
      </w:r>
      <w:r>
        <w:t xml:space="preserve"> </w:t>
      </w:r>
      <w:r w:rsidRPr="00FD4979">
        <w:t xml:space="preserve">Benedict XVI, Encyclical Letter </w:t>
      </w:r>
      <w:hyperlink r:id="rId1" w:history="1">
        <w:r w:rsidRPr="00816B7A">
          <w:rPr>
            <w:rStyle w:val="a7"/>
            <w:i/>
            <w:iCs/>
          </w:rPr>
          <w:t>Caritas in Veritate</w:t>
        </w:r>
      </w:hyperlink>
      <w:r w:rsidRPr="00FD4979">
        <w:rPr>
          <w:i/>
          <w:iCs/>
        </w:rPr>
        <w:t xml:space="preserve"> </w:t>
      </w:r>
      <w:r w:rsidRPr="00FD4979">
        <w:t xml:space="preserve">(29 June 2009), 50: </w:t>
      </w:r>
      <w:r w:rsidRPr="00FD4979">
        <w:rPr>
          <w:i/>
          <w:iCs/>
        </w:rPr>
        <w:t xml:space="preserve">AAS </w:t>
      </w:r>
      <w:r w:rsidRPr="00FD4979">
        <w:t>101 (2009), 686.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73"/>
    <w:rsid w:val="0027530A"/>
    <w:rsid w:val="002E3473"/>
    <w:rsid w:val="003B282D"/>
    <w:rsid w:val="00520B4B"/>
    <w:rsid w:val="006C15CC"/>
    <w:rsid w:val="006F2878"/>
    <w:rsid w:val="00774135"/>
    <w:rsid w:val="007E5B24"/>
    <w:rsid w:val="009A2BC3"/>
    <w:rsid w:val="009F6DAF"/>
    <w:rsid w:val="00AC1327"/>
    <w:rsid w:val="00C13525"/>
    <w:rsid w:val="00CB4B42"/>
    <w:rsid w:val="00E311DE"/>
    <w:rsid w:val="00E4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B55268-EAA9-46C9-BCEE-3E6342FD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30A"/>
    <w:pPr>
      <w:tabs>
        <w:tab w:val="center" w:pos="4252"/>
        <w:tab w:val="right" w:pos="8504"/>
      </w:tabs>
      <w:snapToGrid w:val="0"/>
    </w:pPr>
  </w:style>
  <w:style w:type="character" w:customStyle="1" w:styleId="a4">
    <w:name w:val="ヘッダー (文字)"/>
    <w:basedOn w:val="a0"/>
    <w:link w:val="a3"/>
    <w:uiPriority w:val="99"/>
    <w:rsid w:val="0027530A"/>
  </w:style>
  <w:style w:type="paragraph" w:styleId="a5">
    <w:name w:val="footer"/>
    <w:basedOn w:val="a"/>
    <w:link w:val="a6"/>
    <w:uiPriority w:val="99"/>
    <w:unhideWhenUsed/>
    <w:rsid w:val="0027530A"/>
    <w:pPr>
      <w:tabs>
        <w:tab w:val="center" w:pos="4252"/>
        <w:tab w:val="right" w:pos="8504"/>
      </w:tabs>
      <w:snapToGrid w:val="0"/>
    </w:pPr>
  </w:style>
  <w:style w:type="character" w:customStyle="1" w:styleId="a6">
    <w:name w:val="フッター (文字)"/>
    <w:basedOn w:val="a0"/>
    <w:link w:val="a5"/>
    <w:uiPriority w:val="99"/>
    <w:rsid w:val="0027530A"/>
  </w:style>
  <w:style w:type="character" w:styleId="a7">
    <w:name w:val="Hyperlink"/>
    <w:uiPriority w:val="99"/>
    <w:unhideWhenUsed/>
    <w:rsid w:val="0027530A"/>
    <w:rPr>
      <w:color w:val="0563C1"/>
      <w:u w:val="single"/>
    </w:rPr>
  </w:style>
  <w:style w:type="paragraph" w:styleId="a8">
    <w:name w:val="footnote text"/>
    <w:basedOn w:val="a"/>
    <w:link w:val="a9"/>
    <w:uiPriority w:val="99"/>
    <w:semiHidden/>
    <w:unhideWhenUsed/>
    <w:rsid w:val="0027530A"/>
    <w:pPr>
      <w:snapToGrid w:val="0"/>
      <w:jc w:val="left"/>
    </w:pPr>
    <w:rPr>
      <w:rFonts w:ascii="Century" w:eastAsia="ＭＳ 明朝" w:hAnsi="Century" w:cs="Times New Roman"/>
    </w:rPr>
  </w:style>
  <w:style w:type="character" w:customStyle="1" w:styleId="a9">
    <w:name w:val="脚注文字列 (文字)"/>
    <w:basedOn w:val="a0"/>
    <w:link w:val="a8"/>
    <w:uiPriority w:val="99"/>
    <w:semiHidden/>
    <w:rsid w:val="0027530A"/>
    <w:rPr>
      <w:rFonts w:ascii="Century" w:eastAsia="ＭＳ 明朝" w:hAnsi="Century" w:cs="Times New Roman"/>
    </w:rPr>
  </w:style>
  <w:style w:type="character" w:styleId="aa">
    <w:name w:val="footnote reference"/>
    <w:uiPriority w:val="99"/>
    <w:semiHidden/>
    <w:unhideWhenUsed/>
    <w:rsid w:val="0027530A"/>
    <w:rPr>
      <w:vertAlign w:val="superscript"/>
    </w:rPr>
  </w:style>
  <w:style w:type="character" w:styleId="ab">
    <w:name w:val="FollowedHyperlink"/>
    <w:basedOn w:val="a0"/>
    <w:uiPriority w:val="99"/>
    <w:semiHidden/>
    <w:unhideWhenUsed/>
    <w:rsid w:val="007E5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50rekisi.blog.so-net.ne.jp/2014-01-24-5" TargetMode="External"/><Relationship Id="rId13" Type="http://schemas.openxmlformats.org/officeDocument/2006/relationships/hyperlink" Target="https://www.cryptocoinsnews.com/imf-director-talks-up-virtual-currencies-and-blockchain-tec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etsureki.com/home/library/shiryoukan/hinkyuu.html" TargetMode="External"/><Relationship Id="rId12" Type="http://schemas.openxmlformats.org/officeDocument/2006/relationships/hyperlink" Target="http://www.llc.ip.rcast.u-tokyo.ac.jp/Papers/Laudato%20Si/Chapter%20III%20IV%20V%20wayaku%20rev2.d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llc.ip.rcast.u-tokyo.ac.jp/Papers/evolution%20history/evolution%20history%20of%20US%20partnership%20taxation%20rev9.ppt" TargetMode="External"/><Relationship Id="rId11" Type="http://schemas.openxmlformats.org/officeDocument/2006/relationships/hyperlink" Target="http://w2.vatican.va/content/francesco/en/encyclicals/documents/papa-francesco_20150524_enciclica-laudato-si.html" TargetMode="External"/><Relationship Id="rId5" Type="http://schemas.openxmlformats.org/officeDocument/2006/relationships/endnotes" Target="endnotes.xml"/><Relationship Id="rId15" Type="http://schemas.openxmlformats.org/officeDocument/2006/relationships/hyperlink" Target="http://www.llc.ip.rcast.u-tokyo.ac.jp/Papers/IR4/The%20Fourth%20Industrial%20Revolution%20by%20Klaus%20Schwab%20revX.docx" TargetMode="External"/><Relationship Id="rId10" Type="http://schemas.openxmlformats.org/officeDocument/2006/relationships/hyperlink" Target="https://www.imf.org/external/pubs/ft/sdn/2016/sdn1603.pdf" TargetMode="External"/><Relationship Id="rId4" Type="http://schemas.openxmlformats.org/officeDocument/2006/relationships/footnotes" Target="footnotes.xml"/><Relationship Id="rId9" Type="http://schemas.openxmlformats.org/officeDocument/2006/relationships/hyperlink" Target="http://w2.vatican.va/content/francesco/en/encyclicals/documents/papa-francesco_20150524_enciclica-laudato-si.html" TargetMode="External"/><Relationship Id="rId14" Type="http://schemas.openxmlformats.org/officeDocument/2006/relationships/hyperlink" Target="http://www.llc.ip.rcast.u-tokyo.ac.jp/Column%20hobo-shuukan/2016/20160129%20W175%20Pope%20Francis%20Davos2016/20160129%20W175%20Pope%20Francis%20Davos2016%20rev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2.vatican.va/content/benedict-xvi/en/encyclicals/documents/hf_ben-xvi_enc_20090629_caritas-in-veritat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5</cp:revision>
  <dcterms:created xsi:type="dcterms:W3CDTF">2016-05-26T04:35:00Z</dcterms:created>
  <dcterms:modified xsi:type="dcterms:W3CDTF">2016-05-26T07:06:00Z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