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20" w:rsidRPr="00B0766B" w:rsidRDefault="009F7920" w:rsidP="009F7920">
      <w:pPr>
        <w:jc w:val="center"/>
        <w:rPr>
          <w:rFonts w:ascii="Century" w:eastAsia="ＭＳ 明朝" w:hAnsi="Century" w:cs="Times New Roman"/>
        </w:rPr>
      </w:pPr>
      <w:r w:rsidRPr="00B0766B">
        <w:rPr>
          <w:rFonts w:ascii="Century" w:eastAsia="ＭＳ 明朝" w:hAnsi="Century" w:cs="Times New Roman" w:hint="eastAsia"/>
        </w:rPr>
        <w:t xml:space="preserve">ほぼ週刊コラム　</w:t>
      </w:r>
      <w:r w:rsidRPr="00B0766B">
        <w:rPr>
          <w:rFonts w:ascii="Century" w:eastAsia="ＭＳ 明朝" w:hAnsi="Century" w:cs="Times New Roman"/>
        </w:rPr>
        <w:t>Partnership</w:t>
      </w:r>
      <w:r w:rsidRPr="00B0766B">
        <w:rPr>
          <w:rFonts w:ascii="Century" w:eastAsia="ＭＳ 明朝" w:hAnsi="Century" w:cs="Times New Roman" w:hint="eastAsia"/>
        </w:rPr>
        <w:t>論　その１</w:t>
      </w:r>
      <w:r>
        <w:rPr>
          <w:rFonts w:ascii="Century" w:eastAsia="ＭＳ 明朝" w:hAnsi="Century" w:cs="Times New Roman" w:hint="eastAsia"/>
        </w:rPr>
        <w:t>７０</w:t>
      </w:r>
    </w:p>
    <w:p w:rsidR="009F7920" w:rsidRPr="00B0766B" w:rsidRDefault="009F7920" w:rsidP="009F7920">
      <w:pPr>
        <w:jc w:val="center"/>
        <w:rPr>
          <w:rFonts w:ascii="Century" w:eastAsia="ＭＳ 明朝" w:hAnsi="Century" w:cs="Times New Roman"/>
          <w:b/>
        </w:rPr>
      </w:pPr>
      <w:r w:rsidRPr="00B0766B">
        <w:rPr>
          <w:rFonts w:ascii="Century" w:eastAsia="ＭＳ 明朝" w:hAnsi="Century" w:cs="Times New Roman" w:hint="eastAsia"/>
          <w:b/>
        </w:rPr>
        <w:t>シリーズ：『米国</w:t>
      </w:r>
      <w:r w:rsidRPr="00B0766B">
        <w:rPr>
          <w:rFonts w:ascii="Century" w:eastAsia="ＭＳ 明朝" w:hAnsi="Century" w:cs="Times New Roman"/>
          <w:b/>
        </w:rPr>
        <w:t>Partnership</w:t>
      </w:r>
      <w:r w:rsidRPr="00B0766B">
        <w:rPr>
          <w:rFonts w:ascii="Century" w:eastAsia="ＭＳ 明朝" w:hAnsi="Century" w:cs="Times New Roman" w:hint="eastAsia"/>
          <w:b/>
        </w:rPr>
        <w:t>税制勉強会』の振り返りと準備</w:t>
      </w:r>
    </w:p>
    <w:p w:rsidR="009F7920" w:rsidRPr="00B0766B" w:rsidRDefault="009F7920" w:rsidP="009F7920">
      <w:pPr>
        <w:jc w:val="center"/>
        <w:rPr>
          <w:rFonts w:ascii="Century" w:eastAsia="ＭＳ 明朝" w:hAnsi="Century" w:cs="Times New Roman"/>
          <w:b/>
        </w:rPr>
      </w:pPr>
      <w:r w:rsidRPr="00B0766B">
        <w:rPr>
          <w:rFonts w:ascii="Century" w:eastAsia="ＭＳ 明朝" w:hAnsi="Century" w:cs="Times New Roman" w:hint="eastAsia"/>
          <w:b/>
        </w:rPr>
        <w:t>第十八回勉強会（</w:t>
      </w:r>
      <w:hyperlink r:id="rId9" w:history="1">
        <w:r w:rsidRPr="00B0766B">
          <w:rPr>
            <w:rFonts w:ascii="Century" w:eastAsia="ＭＳ 明朝" w:hAnsi="Century" w:cs="Times New Roman" w:hint="eastAsia"/>
            <w:b/>
            <w:color w:val="0000FF"/>
            <w:u w:val="single"/>
          </w:rPr>
          <w:t>年表</w:t>
        </w:r>
      </w:hyperlink>
      <w:r w:rsidRPr="00B0766B">
        <w:rPr>
          <w:rFonts w:ascii="Century" w:eastAsia="ＭＳ 明朝" w:hAnsi="Century" w:cs="Times New Roman" w:hint="eastAsia"/>
          <w:b/>
        </w:rPr>
        <w:t>項目</w:t>
      </w:r>
      <w:r w:rsidRPr="00B0766B">
        <w:rPr>
          <w:rFonts w:ascii="Century" w:eastAsia="ＭＳ 明朝" w:hAnsi="Century" w:cs="Times New Roman"/>
          <w:b/>
        </w:rPr>
        <w:t>1</w:t>
      </w:r>
      <w:r w:rsidRPr="00B0766B">
        <w:rPr>
          <w:rFonts w:ascii="Century" w:eastAsia="ＭＳ 明朝" w:hAnsi="Century" w:cs="Times New Roman"/>
          <w:b/>
        </w:rPr>
        <w:t>１</w:t>
      </w:r>
      <w:r w:rsidRPr="00B0766B">
        <w:rPr>
          <w:rFonts w:ascii="Century" w:eastAsia="ＭＳ 明朝" w:hAnsi="Century" w:cs="Times New Roman" w:hint="eastAsia"/>
          <w:b/>
        </w:rPr>
        <w:t>：</w:t>
      </w:r>
      <w:r w:rsidRPr="00B0766B">
        <w:rPr>
          <w:rFonts w:ascii="Century" w:eastAsia="ＭＳ 明朝" w:hAnsi="Century" w:cs="Times New Roman" w:hint="eastAsia"/>
          <w:b/>
        </w:rPr>
        <w:t xml:space="preserve">check the box rule </w:t>
      </w:r>
      <w:r w:rsidRPr="00B0766B">
        <w:rPr>
          <w:rFonts w:ascii="Century" w:eastAsia="ＭＳ 明朝" w:hAnsi="Century" w:cs="Times New Roman"/>
          <w:b/>
        </w:rPr>
        <w:t>(1996</w:t>
      </w:r>
      <w:r w:rsidRPr="00B0766B">
        <w:rPr>
          <w:rFonts w:ascii="Century" w:eastAsia="ＭＳ 明朝" w:hAnsi="Century" w:cs="Times New Roman" w:hint="eastAsia"/>
          <w:b/>
        </w:rPr>
        <w:t>））の準備（</w:t>
      </w:r>
      <w:r>
        <w:rPr>
          <w:rFonts w:ascii="Century" w:eastAsia="ＭＳ 明朝" w:hAnsi="Century" w:cs="Times New Roman" w:hint="eastAsia"/>
          <w:b/>
        </w:rPr>
        <w:t>４</w:t>
      </w:r>
      <w:r w:rsidRPr="00B0766B">
        <w:rPr>
          <w:rFonts w:ascii="Century" w:eastAsia="ＭＳ 明朝" w:hAnsi="Century" w:cs="Times New Roman" w:hint="eastAsia"/>
          <w:b/>
        </w:rPr>
        <w:t>）：</w:t>
      </w:r>
    </w:p>
    <w:p w:rsidR="009F7920" w:rsidRPr="00B0766B" w:rsidRDefault="009F7920" w:rsidP="009F7920">
      <w:pPr>
        <w:jc w:val="center"/>
        <w:rPr>
          <w:rFonts w:ascii="Century" w:eastAsia="ＭＳ 明朝" w:hAnsi="Century" w:cs="Times New Roman"/>
          <w:b/>
        </w:rPr>
      </w:pPr>
    </w:p>
    <w:p w:rsidR="009F7920" w:rsidRPr="00B0766B" w:rsidRDefault="00686467" w:rsidP="009F7920">
      <w:pPr>
        <w:tabs>
          <w:tab w:val="center" w:pos="4252"/>
          <w:tab w:val="right" w:pos="8504"/>
        </w:tabs>
        <w:snapToGrid w:val="0"/>
        <w:jc w:val="center"/>
        <w:rPr>
          <w:rFonts w:ascii="Century" w:eastAsia="ＭＳ 明朝" w:hAnsi="Century" w:cs="Times New Roman"/>
          <w:b/>
        </w:rPr>
      </w:pPr>
      <w:r>
        <w:rPr>
          <w:rFonts w:ascii="Century" w:eastAsia="ＭＳ 明朝" w:hAnsi="Century" w:cs="Times New Roman"/>
          <w:b/>
        </w:rPr>
        <w:t>年末恒例、</w:t>
      </w:r>
      <w:r>
        <w:rPr>
          <w:rFonts w:ascii="Century" w:eastAsia="ＭＳ 明朝" w:hAnsi="Century" w:cs="Times New Roman"/>
          <w:b/>
        </w:rPr>
        <w:t>GDP</w:t>
      </w:r>
      <w:r>
        <w:rPr>
          <w:rFonts w:ascii="Century" w:eastAsia="ＭＳ 明朝" w:hAnsi="Century" w:cs="Times New Roman"/>
          <w:b/>
        </w:rPr>
        <w:t>推移グラフ、その他</w:t>
      </w:r>
    </w:p>
    <w:p w:rsidR="009F7920" w:rsidRPr="00B0766B" w:rsidRDefault="009F7920" w:rsidP="009F7920">
      <w:pPr>
        <w:jc w:val="right"/>
        <w:rPr>
          <w:rFonts w:ascii="Century" w:eastAsia="ＭＳ 明朝" w:hAnsi="Century" w:cs="Times New Roman"/>
        </w:rPr>
      </w:pPr>
      <w:r w:rsidRPr="00B0766B">
        <w:rPr>
          <w:rFonts w:ascii="Century" w:eastAsia="ＭＳ 明朝" w:hAnsi="Century" w:cs="Times New Roman"/>
        </w:rPr>
        <w:t>201512</w:t>
      </w:r>
      <w:r>
        <w:rPr>
          <w:rFonts w:ascii="Century" w:eastAsia="ＭＳ 明朝" w:hAnsi="Century" w:cs="Times New Roman"/>
        </w:rPr>
        <w:t>2</w:t>
      </w:r>
      <w:r w:rsidR="00686467">
        <w:rPr>
          <w:rFonts w:ascii="Century" w:eastAsia="ＭＳ 明朝" w:hAnsi="Century" w:cs="Times New Roman"/>
        </w:rPr>
        <w:t>4</w:t>
      </w:r>
      <w:r w:rsidRPr="00B0766B">
        <w:rPr>
          <w:rFonts w:ascii="Century" w:eastAsia="ＭＳ 明朝" w:hAnsi="Century" w:cs="Times New Roman"/>
        </w:rPr>
        <w:t xml:space="preserve">　</w:t>
      </w:r>
      <w:r w:rsidRPr="00B0766B">
        <w:rPr>
          <w:rFonts w:ascii="Century" w:eastAsia="ＭＳ 明朝" w:hAnsi="Century" w:cs="Times New Roman"/>
        </w:rPr>
        <w:t>rev.1</w:t>
      </w:r>
      <w:r w:rsidRPr="00B0766B">
        <w:rPr>
          <w:rFonts w:ascii="Century" w:eastAsia="ＭＳ 明朝" w:hAnsi="Century" w:cs="Times New Roman"/>
        </w:rPr>
        <w:t xml:space="preserve">　齋藤旬</w:t>
      </w:r>
    </w:p>
    <w:p w:rsidR="009F7920" w:rsidRPr="00B0766B" w:rsidRDefault="009F7920" w:rsidP="009F7920">
      <w:pPr>
        <w:rPr>
          <w:rFonts w:ascii="Century" w:eastAsia="ＭＳ 明朝" w:hAnsi="Century" w:cs="Times New Roman"/>
        </w:rPr>
      </w:pPr>
    </w:p>
    <w:p w:rsidR="00F73ADF" w:rsidRDefault="009F7920" w:rsidP="009F7920">
      <w:pPr>
        <w:rPr>
          <w:rFonts w:ascii="Century" w:eastAsia="ＭＳ 明朝" w:hAnsi="Century" w:cs="Times New Roman"/>
        </w:rPr>
      </w:pPr>
      <w:r w:rsidRPr="00686467">
        <w:rPr>
          <w:rFonts w:ascii="Century" w:eastAsia="ＭＳ 明朝" w:hAnsi="Century" w:cs="Times New Roman"/>
          <w:b/>
        </w:rPr>
        <w:t xml:space="preserve">　</w:t>
      </w:r>
      <w:r w:rsidR="00686467" w:rsidRPr="00686467">
        <w:rPr>
          <w:rFonts w:ascii="Century" w:eastAsia="ＭＳ 明朝" w:hAnsi="Century" w:cs="Times New Roman"/>
          <w:b/>
        </w:rPr>
        <w:t>今年もあと僅か。</w:t>
      </w:r>
      <w:r w:rsidR="00686467">
        <w:rPr>
          <w:rFonts w:ascii="Century" w:eastAsia="ＭＳ 明朝" w:hAnsi="Century" w:cs="Times New Roman"/>
          <w:b/>
        </w:rPr>
        <w:t>ということで恒例の「</w:t>
      </w:r>
      <w:r w:rsidR="00686467">
        <w:rPr>
          <w:rFonts w:ascii="Century" w:eastAsia="ＭＳ 明朝" w:hAnsi="Century" w:cs="Times New Roman"/>
          <w:b/>
        </w:rPr>
        <w:t>GDP</w:t>
      </w:r>
      <w:r w:rsidR="00686467">
        <w:rPr>
          <w:rFonts w:ascii="Century" w:eastAsia="ＭＳ 明朝" w:hAnsi="Century" w:cs="Times New Roman"/>
          <w:b/>
        </w:rPr>
        <w:t>推移</w:t>
      </w:r>
      <w:r w:rsidR="00686467">
        <w:rPr>
          <w:rFonts w:ascii="Century" w:eastAsia="ＭＳ 明朝" w:hAnsi="Century" w:cs="Times New Roman"/>
          <w:b/>
        </w:rPr>
        <w:t>update</w:t>
      </w:r>
      <w:r w:rsidR="00F73ADF">
        <w:rPr>
          <w:rFonts w:ascii="Century" w:eastAsia="ＭＳ 明朝" w:hAnsi="Century" w:cs="Times New Roman"/>
          <w:b/>
        </w:rPr>
        <w:t>」</w:t>
      </w:r>
      <w:r w:rsidR="00686467">
        <w:rPr>
          <w:rFonts w:ascii="Century" w:eastAsia="ＭＳ 明朝" w:hAnsi="Century" w:cs="Times New Roman"/>
          <w:b/>
        </w:rPr>
        <w:t>とその他色々をお届けする。</w:t>
      </w:r>
      <w:r w:rsidR="00F73ADF">
        <w:rPr>
          <w:rFonts w:ascii="Century" w:eastAsia="ＭＳ 明朝" w:hAnsi="Century" w:cs="Times New Roman"/>
        </w:rPr>
        <w:t>その他としては、「</w:t>
      </w:r>
      <w:r w:rsidR="00F73ADF">
        <w:rPr>
          <w:rFonts w:ascii="Century" w:eastAsia="ＭＳ 明朝" w:hAnsi="Century" w:cs="Times New Roman"/>
        </w:rPr>
        <w:t>tax expenditure</w:t>
      </w:r>
      <w:r w:rsidR="00F73ADF">
        <w:rPr>
          <w:rFonts w:ascii="Century" w:eastAsia="ＭＳ 明朝" w:hAnsi="Century" w:cs="Times New Roman"/>
        </w:rPr>
        <w:t>補足」「</w:t>
      </w:r>
      <w:r w:rsidR="00F73ADF">
        <w:rPr>
          <w:rFonts w:ascii="Century" w:eastAsia="ＭＳ 明朝" w:hAnsi="Century" w:cs="Times New Roman"/>
        </w:rPr>
        <w:t>check the box rule</w:t>
      </w:r>
      <w:r w:rsidR="00F73ADF">
        <w:rPr>
          <w:rFonts w:ascii="Century" w:eastAsia="ＭＳ 明朝" w:hAnsi="Century" w:cs="Times New Roman"/>
        </w:rPr>
        <w:t>関連」などを予定している。では、</w:t>
      </w:r>
      <w:r w:rsidR="00F73ADF">
        <w:rPr>
          <w:rFonts w:ascii="Century" w:eastAsia="ＭＳ 明朝" w:hAnsi="Century" w:cs="Times New Roman"/>
        </w:rPr>
        <w:t>GDP</w:t>
      </w:r>
      <w:r w:rsidR="00F73ADF">
        <w:rPr>
          <w:rFonts w:ascii="Century" w:eastAsia="ＭＳ 明朝" w:hAnsi="Century" w:cs="Times New Roman"/>
        </w:rPr>
        <w:t>推移</w:t>
      </w:r>
      <w:r w:rsidR="00F73ADF">
        <w:rPr>
          <w:rFonts w:ascii="Century" w:eastAsia="ＭＳ 明朝" w:hAnsi="Century" w:cs="Times New Roman"/>
        </w:rPr>
        <w:t>update</w:t>
      </w:r>
      <w:r w:rsidR="00F73ADF">
        <w:rPr>
          <w:rFonts w:ascii="Century" w:eastAsia="ＭＳ 明朝" w:hAnsi="Century" w:cs="Times New Roman"/>
        </w:rPr>
        <w:t>から：</w:t>
      </w:r>
    </w:p>
    <w:p w:rsidR="00F73ADF" w:rsidRDefault="00F73ADF" w:rsidP="009F7920">
      <w:pPr>
        <w:rPr>
          <w:rFonts w:ascii="Century" w:eastAsia="ＭＳ 明朝" w:hAnsi="Century" w:cs="Times New Roman"/>
        </w:rPr>
      </w:pPr>
    </w:p>
    <w:p w:rsidR="00F73ADF" w:rsidRDefault="006C083D" w:rsidP="009F7920">
      <w:pPr>
        <w:rPr>
          <w:rFonts w:ascii="Century" w:eastAsia="ＭＳ 明朝" w:hAnsi="Century" w:cs="Times New Roman"/>
        </w:rPr>
      </w:pPr>
      <w:r>
        <w:rPr>
          <w:noProof/>
        </w:rPr>
        <w:drawing>
          <wp:inline distT="0" distB="0" distL="0" distR="0" wp14:anchorId="15D50A8C" wp14:editId="63C258CC">
            <wp:extent cx="5400040" cy="3527425"/>
            <wp:effectExtent l="0" t="0" r="10160" b="1587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31A6" w:rsidRPr="00F73ADF" w:rsidRDefault="002231A6" w:rsidP="009F7920">
      <w:pPr>
        <w:rPr>
          <w:rFonts w:ascii="Century" w:eastAsia="ＭＳ 明朝" w:hAnsi="Century" w:cs="Times New Roman"/>
          <w:b/>
        </w:rPr>
      </w:pPr>
    </w:p>
    <w:p w:rsidR="002231A6" w:rsidRDefault="001E6CC7" w:rsidP="00C774F6">
      <w:pPr>
        <w:ind w:firstLineChars="100" w:firstLine="210"/>
        <w:rPr>
          <w:rFonts w:ascii="Century" w:eastAsia="ＭＳ 明朝" w:hAnsi="Century" w:cs="Times New Roman"/>
        </w:rPr>
      </w:pPr>
      <w:r>
        <w:rPr>
          <w:rFonts w:ascii="Century" w:eastAsia="ＭＳ 明朝" w:hAnsi="Century" w:cs="Times New Roman"/>
        </w:rPr>
        <w:t>一言</w:t>
      </w:r>
      <w:r w:rsidR="00EF3AF4">
        <w:rPr>
          <w:rFonts w:ascii="Century" w:eastAsia="ＭＳ 明朝" w:hAnsi="Century" w:cs="Times New Roman"/>
        </w:rPr>
        <w:t>「</w:t>
      </w:r>
      <w:r>
        <w:rPr>
          <w:rFonts w:ascii="Century" w:eastAsia="ＭＳ 明朝" w:hAnsi="Century" w:cs="Times New Roman"/>
        </w:rPr>
        <w:t>世界経済社会に起きている</w:t>
      </w:r>
      <w:r w:rsidR="00EF3AF4">
        <w:rPr>
          <w:rFonts w:ascii="Century" w:eastAsia="ＭＳ 明朝" w:hAnsi="Century" w:cs="Times New Roman"/>
        </w:rPr>
        <w:t>根本的変化に気づかず</w:t>
      </w:r>
      <w:r>
        <w:rPr>
          <w:rFonts w:ascii="Century" w:eastAsia="ＭＳ 明朝" w:hAnsi="Century" w:cs="Times New Roman"/>
        </w:rPr>
        <w:t>、従来の</w:t>
      </w:r>
      <w:r>
        <w:rPr>
          <w:rFonts w:ascii="Century" w:eastAsia="ＭＳ 明朝" w:hAnsi="Century" w:cs="Times New Roman"/>
        </w:rPr>
        <w:t>corporate</w:t>
      </w:r>
      <w:r>
        <w:rPr>
          <w:rFonts w:ascii="Century" w:eastAsia="ＭＳ 明朝" w:hAnsi="Century" w:cs="Times New Roman"/>
        </w:rPr>
        <w:t>経済</w:t>
      </w:r>
      <w:r w:rsidR="00C774F6">
        <w:rPr>
          <w:rFonts w:ascii="Century" w:eastAsia="ＭＳ 明朝" w:hAnsi="Century" w:cs="Times New Roman"/>
        </w:rPr>
        <w:t>しか出来ないでいる</w:t>
      </w:r>
      <w:r w:rsidR="00EF3AF4">
        <w:rPr>
          <w:rFonts w:ascii="Century" w:eastAsia="ＭＳ 明朝" w:hAnsi="Century" w:cs="Times New Roman"/>
        </w:rPr>
        <w:t>ニッポン」と</w:t>
      </w:r>
      <w:r w:rsidR="00C774F6">
        <w:rPr>
          <w:rFonts w:ascii="Century" w:eastAsia="ＭＳ 明朝" w:hAnsi="Century" w:cs="Times New Roman"/>
        </w:rPr>
        <w:t>述べるだけにしておこう。</w:t>
      </w:r>
    </w:p>
    <w:p w:rsidR="00C774F6" w:rsidRDefault="00C774F6" w:rsidP="00C774F6">
      <w:pPr>
        <w:ind w:firstLineChars="100" w:firstLine="210"/>
        <w:rPr>
          <w:rFonts w:ascii="Century" w:eastAsia="ＭＳ 明朝" w:hAnsi="Century" w:cs="Times New Roman"/>
        </w:rPr>
      </w:pPr>
    </w:p>
    <w:p w:rsidR="00174522" w:rsidRDefault="00C774F6" w:rsidP="00C774F6">
      <w:pPr>
        <w:ind w:firstLineChars="100" w:firstLine="211"/>
        <w:rPr>
          <w:rFonts w:ascii="Century" w:eastAsia="ＭＳ 明朝" w:hAnsi="Century" w:cs="Times New Roman"/>
        </w:rPr>
      </w:pPr>
      <w:r w:rsidRPr="00174522">
        <w:rPr>
          <w:rFonts w:ascii="Century" w:eastAsia="ＭＳ 明朝" w:hAnsi="Century" w:cs="Times New Roman"/>
          <w:b/>
        </w:rPr>
        <w:t>「</w:t>
      </w:r>
      <w:r w:rsidRPr="00174522">
        <w:rPr>
          <w:rFonts w:ascii="Century" w:eastAsia="ＭＳ 明朝" w:hAnsi="Century" w:cs="Times New Roman"/>
          <w:b/>
        </w:rPr>
        <w:t>tax expenditure</w:t>
      </w:r>
      <w:r w:rsidRPr="00174522">
        <w:rPr>
          <w:rFonts w:ascii="Century" w:eastAsia="ＭＳ 明朝" w:hAnsi="Century" w:cs="Times New Roman"/>
          <w:b/>
        </w:rPr>
        <w:t>補足」もしておく</w:t>
      </w:r>
      <w:r>
        <w:rPr>
          <w:rFonts w:ascii="Century" w:eastAsia="ＭＳ 明朝" w:hAnsi="Century" w:cs="Times New Roman"/>
        </w:rPr>
        <w:t>。米議会調査部（</w:t>
      </w:r>
      <w:r>
        <w:rPr>
          <w:rFonts w:ascii="Century" w:eastAsia="ＭＳ 明朝" w:hAnsi="Century" w:cs="Times New Roman"/>
        </w:rPr>
        <w:t>CRS</w:t>
      </w:r>
      <w:r w:rsidR="00071289">
        <w:rPr>
          <w:rFonts w:ascii="Century" w:eastAsia="ＭＳ 明朝" w:hAnsi="Century" w:cs="Times New Roman"/>
        </w:rPr>
        <w:t>）</w:t>
      </w:r>
      <w:r w:rsidR="00174522">
        <w:rPr>
          <w:rFonts w:ascii="Century" w:eastAsia="ＭＳ 明朝" w:hAnsi="Century" w:cs="Times New Roman"/>
        </w:rPr>
        <w:t>が今年</w:t>
      </w:r>
      <w:r w:rsidR="00174522">
        <w:rPr>
          <w:rFonts w:ascii="Century" w:eastAsia="ＭＳ 明朝" w:hAnsi="Century" w:cs="Times New Roman"/>
        </w:rPr>
        <w:t>4</w:t>
      </w:r>
      <w:r w:rsidR="00174522">
        <w:rPr>
          <w:rFonts w:ascii="Century" w:eastAsia="ＭＳ 明朝" w:hAnsi="Century" w:cs="Times New Roman"/>
        </w:rPr>
        <w:t>月</w:t>
      </w:r>
      <w:r w:rsidR="00174522">
        <w:rPr>
          <w:rFonts w:ascii="Century" w:eastAsia="ＭＳ 明朝" w:hAnsi="Century" w:cs="Times New Roman"/>
        </w:rPr>
        <w:t>30</w:t>
      </w:r>
      <w:r w:rsidR="00174522">
        <w:rPr>
          <w:rFonts w:ascii="Century" w:eastAsia="ＭＳ 明朝" w:hAnsi="Century" w:cs="Times New Roman"/>
        </w:rPr>
        <w:t>日に発行した論文：</w:t>
      </w:r>
      <w:hyperlink r:id="rId11" w:history="1">
        <w:r w:rsidR="00174522" w:rsidRPr="00174522">
          <w:rPr>
            <w:rStyle w:val="a7"/>
            <w:rFonts w:ascii="Century" w:eastAsia="ＭＳ 明朝" w:hAnsi="Century" w:cs="Times New Roman"/>
          </w:rPr>
          <w:t>Tax Expenditures: Overview and Analysis</w:t>
        </w:r>
      </w:hyperlink>
      <w:r w:rsidR="00174522">
        <w:rPr>
          <w:rFonts w:ascii="Century" w:eastAsia="ＭＳ 明朝" w:hAnsi="Century" w:cs="Times New Roman"/>
        </w:rPr>
        <w:t>、これの</w:t>
      </w:r>
      <w:r w:rsidR="00174522">
        <w:rPr>
          <w:rFonts w:ascii="Century" w:eastAsia="ＭＳ 明朝" w:hAnsi="Century" w:cs="Times New Roman"/>
        </w:rPr>
        <w:t>8</w:t>
      </w:r>
      <w:r w:rsidR="00174522">
        <w:rPr>
          <w:rFonts w:ascii="Century" w:eastAsia="ＭＳ 明朝" w:hAnsi="Century" w:cs="Times New Roman"/>
        </w:rPr>
        <w:t>頁にあるグラフを次頁に示した。</w:t>
      </w:r>
      <w:r w:rsidR="001E6A79">
        <w:rPr>
          <w:rFonts w:ascii="Century" w:eastAsia="ＭＳ 明朝" w:hAnsi="Century" w:cs="Times New Roman"/>
        </w:rPr>
        <w:t>1974</w:t>
      </w:r>
      <w:r w:rsidR="001E6A79">
        <w:rPr>
          <w:rFonts w:ascii="Century" w:eastAsia="ＭＳ 明朝" w:hAnsi="Century" w:cs="Times New Roman"/>
        </w:rPr>
        <w:t>年</w:t>
      </w:r>
      <w:r w:rsidR="00D85775">
        <w:rPr>
          <w:rFonts w:ascii="Century" w:eastAsia="ＭＳ 明朝" w:hAnsi="Century" w:cs="Times New Roman"/>
        </w:rPr>
        <w:t>に</w:t>
      </w:r>
      <w:r w:rsidR="001E6A79">
        <w:rPr>
          <w:rFonts w:ascii="Century" w:eastAsia="ＭＳ 明朝" w:hAnsi="Century" w:cs="Times New Roman"/>
        </w:rPr>
        <w:t>tax expenditure</w:t>
      </w:r>
      <w:r w:rsidR="001E6A79">
        <w:rPr>
          <w:rFonts w:ascii="Century" w:eastAsia="ＭＳ 明朝" w:hAnsi="Century" w:cs="Times New Roman"/>
        </w:rPr>
        <w:t>見積もりが義務化されて以来、現在までの</w:t>
      </w:r>
      <w:r w:rsidR="00D85775">
        <w:rPr>
          <w:rFonts w:ascii="Century" w:eastAsia="ＭＳ 明朝" w:hAnsi="Century" w:cs="Times New Roman"/>
        </w:rPr>
        <w:t>米連邦政府の</w:t>
      </w:r>
      <w:r w:rsidR="001E6A79">
        <w:rPr>
          <w:rFonts w:ascii="Century" w:eastAsia="ＭＳ 明朝" w:hAnsi="Century" w:cs="Times New Roman"/>
        </w:rPr>
        <w:t>直接歳出（</w:t>
      </w:r>
      <w:r w:rsidR="001E6A79">
        <w:rPr>
          <w:rFonts w:ascii="Century" w:eastAsia="ＭＳ 明朝" w:hAnsi="Century" w:cs="Times New Roman"/>
        </w:rPr>
        <w:t>direct spending</w:t>
      </w:r>
      <w:r w:rsidR="001E6A79">
        <w:rPr>
          <w:rFonts w:ascii="Century" w:eastAsia="ＭＳ 明朝" w:hAnsi="Century" w:cs="Times New Roman"/>
        </w:rPr>
        <w:t>）と租税支出（</w:t>
      </w:r>
      <w:r w:rsidR="001E6A79">
        <w:rPr>
          <w:rFonts w:ascii="Century" w:eastAsia="ＭＳ 明朝" w:hAnsi="Century" w:cs="Times New Roman"/>
        </w:rPr>
        <w:t>tax expenditure</w:t>
      </w:r>
      <w:r w:rsidR="001E6A79">
        <w:rPr>
          <w:rFonts w:ascii="Century" w:eastAsia="ＭＳ 明朝" w:hAnsi="Century" w:cs="Times New Roman"/>
        </w:rPr>
        <w:t>）をグラフにしたもの。</w:t>
      </w:r>
    </w:p>
    <w:p w:rsidR="002231A6" w:rsidRDefault="00D71690" w:rsidP="002231A6">
      <w:pPr>
        <w:rPr>
          <w:rFonts w:ascii="Century" w:eastAsia="ＭＳ 明朝" w:hAnsi="Century" w:cs="Times New Roman"/>
        </w:rPr>
      </w:pPr>
      <w:r>
        <w:rPr>
          <w:rFonts w:ascii="Century" w:eastAsia="ＭＳ 明朝" w:hAnsi="Century" w:cs="Times New Roman"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-1003935</wp:posOffset>
                </wp:positionH>
                <wp:positionV relativeFrom="paragraph">
                  <wp:posOffset>2197100</wp:posOffset>
                </wp:positionV>
                <wp:extent cx="1000125" cy="514350"/>
                <wp:effectExtent l="0" t="0" r="123825" b="171450"/>
                <wp:wrapNone/>
                <wp:docPr id="2" name="角丸四角形吹き出し 2"/>
                <wp:cNvGraphicFramePr/>
                <a:graphic xmlns:a="http://schemas.openxmlformats.org/drawingml/2006/main">
                  <a:graphicData uri="http://schemas.microsoft.com/office/word/2010/wordprocessingShape">
                    <wps:wsp>
                      <wps:cNvSpPr/>
                      <wps:spPr>
                        <a:xfrm>
                          <a:off x="0" y="0"/>
                          <a:ext cx="1000125" cy="514350"/>
                        </a:xfrm>
                        <a:prstGeom prst="wedgeRoundRectCallout">
                          <a:avLst>
                            <a:gd name="adj1" fmla="val 58149"/>
                            <a:gd name="adj2" fmla="val 7768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690" w:rsidRPr="00D71690" w:rsidRDefault="00D71690" w:rsidP="00D71690">
                            <w:pPr>
                              <w:jc w:val="center"/>
                              <w:rPr>
                                <w:color w:val="000000" w:themeColor="text1"/>
                              </w:rPr>
                            </w:pPr>
                            <w:r w:rsidRPr="00D71690">
                              <w:rPr>
                                <w:rFonts w:hint="eastAsia"/>
                                <w:color w:val="000000" w:themeColor="text1"/>
                              </w:rPr>
                              <w:t>1</w:t>
                            </w:r>
                            <w:r w:rsidRPr="00D71690">
                              <w:rPr>
                                <w:rFonts w:hint="eastAsia"/>
                                <w:color w:val="000000" w:themeColor="text1"/>
                              </w:rPr>
                              <w:t>兆ドル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79.05pt;margin-top:173pt;width:78.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M6/wIAACcGAAAOAAAAZHJzL2Uyb0RvYy54bWysVMFuEzEQvSPxD5bvdHdDkrZRN1WUqgip&#10;aqu2qGfHayeLvLaxneyGW0+ckBAXDr1x4RcKEl9TIvEZjL2bTaAVB8Rld8Yz8zzzPDMHh1Uh0IIZ&#10;myuZ4mQnxohJqrJcTlP86ur42R5G1hGZEaEkS/GSWXw4fPrkoNQD1lEzJTJmEIBIOyh1imfO6UEU&#10;WTpjBbE7SjMJRq5MQRyoZhplhpSAXoioE8f9qFQm00ZRZi2cHtVGPAz4nDPqzji3zCGRYsjNha8J&#10;34n/RsMDMpgaomc5bdIg/5BFQXIJl7ZQR8QRNDf5A6gip0ZZxd0OVUWkOM8pCzVANUn8RzWXM6JZ&#10;qAXIsbqlyf4/WHq6ODcoz1LcwUiSAp7o55ePP+7uVre3IKy+f159+Hp/83717tv9zSfU8YSV2g4g&#10;7lKfm0azIPrqK24K/4e6UBVIXrYks8ohCodJHMdJp4cRBVsv6T7vhVeINtHaWPeCqQJ5IcUly6bs&#10;Qs1ldgHPOSZCqLkLZJPFiXWB9azJnWSvE4x4IeARF0Sg3l7S3W8eecsHat347O729/oPfZ5v+yT9&#10;fn/X+0Caza0grRP1KUh1nAsR2klIf2CVyDN/FhTfz2wsDIKsUuyqpAHb8gJAHxl5emtCg+SWgnkI&#10;IS8Yh5cCCjuh+jAjG0xCKZMuqU0zkrH6qh7QvSa4jQh1BECPzCHJFrsB+D3fNXZNQOPvQ1kYsTY4&#10;/ltidXAbEW5W0rXBRS6VeQxAQFXNzbX/mqSaGs+SqyYVuHhxorIltLRR9axbTY9z6KMTYt05MdAX&#10;sAZgYbkz+HChyhSrRsJopszbx869P8wcWDEqYVmk2L6ZE8MwEi8lTON+0u367RKUbm+3A4rZtky2&#10;LXJejBV0AXQqZBdE7+/EWuRGFdew10b+VjARSeHuFFNn1srY1UsMNiNlo1Fwg42iiTuRl5p6cE+w&#10;79Cr6poY3QyTgzE8VevF0jRzTe7G10dKNZo7xXPnjRteGwW2UeihZnP6dbetB6/Nfh/+AgAA//8D&#10;AFBLAwQUAAYACAAAACEAjb1zP+EAAAAKAQAADwAAAGRycy9kb3ducmV2LnhtbEyPu07EMBBFeyT+&#10;wRokuqyTfYRViLPiISSoEAsNnZMMcSAeB9vZDXw9QwXlaI7uPbfczXYQB/Shd6QgW6QgkBrX9tQp&#10;eHm+S7YgQtTU6sERKvjCALvq9KTUReuO9ISHfewEh1AotAIT41hIGRqDVoeFG5H49+a81ZFP38nW&#10;6yOH20Eu0zSXVvfEDUaPeGOw+dhPVsF1X8/Sf78/fj7U08rkcWNv71+VOj+bry5BRJzjHwy/+qwO&#10;FTvVbqI2iEFBkm22GbMKVuucVzGS5CBqBevlRQqyKuX/CdUPAAAA//8DAFBLAQItABQABgAIAAAA&#10;IQC2gziS/gAAAOEBAAATAAAAAAAAAAAAAAAAAAAAAABbQ29udGVudF9UeXBlc10ueG1sUEsBAi0A&#10;FAAGAAgAAAAhADj9If/WAAAAlAEAAAsAAAAAAAAAAAAAAAAALwEAAF9yZWxzLy5yZWxzUEsBAi0A&#10;FAAGAAgAAAAhAHT10zr/AgAAJwYAAA4AAAAAAAAAAAAAAAAALgIAAGRycy9lMm9Eb2MueG1sUEsB&#10;Ai0AFAAGAAgAAAAhAI29cz/hAAAACgEAAA8AAAAAAAAAAAAAAAAAWQUAAGRycy9kb3ducmV2Lnht&#10;bFBLBQYAAAAABAAEAPMAAABnBgAAAAA=&#10;" adj="23360,27580" filled="f" strokecolor="black [3213]" strokeweight="2pt">
                <v:textbox>
                  <w:txbxContent>
                    <w:p w:rsidR="00D71690" w:rsidRPr="00D71690" w:rsidRDefault="00D71690" w:rsidP="00D71690">
                      <w:pPr>
                        <w:jc w:val="center"/>
                        <w:rPr>
                          <w:color w:val="000000" w:themeColor="text1"/>
                        </w:rPr>
                      </w:pPr>
                      <w:r w:rsidRPr="00D71690">
                        <w:rPr>
                          <w:rFonts w:hint="eastAsia"/>
                          <w:color w:val="000000" w:themeColor="text1"/>
                        </w:rPr>
                        <w:t>1</w:t>
                      </w:r>
                      <w:r w:rsidRPr="00D71690">
                        <w:rPr>
                          <w:rFonts w:hint="eastAsia"/>
                          <w:color w:val="000000" w:themeColor="text1"/>
                        </w:rPr>
                        <w:t>兆ドル</w:t>
                      </w:r>
                    </w:p>
                  </w:txbxContent>
                </v:textbox>
              </v:shape>
            </w:pict>
          </mc:Fallback>
        </mc:AlternateContent>
      </w:r>
      <w:r w:rsidR="002231A6" w:rsidRPr="009721F8">
        <w:rPr>
          <w:rFonts w:ascii="Century" w:eastAsia="ＭＳ 明朝" w:hAnsi="Century" w:cs="Times New Roman" w:hint="eastAsia"/>
          <w:noProof/>
        </w:rPr>
        <w:drawing>
          <wp:inline distT="0" distB="0" distL="0" distR="0" wp14:anchorId="2EBA9387" wp14:editId="46BA60E8">
            <wp:extent cx="5400040" cy="537869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5378696"/>
                    </a:xfrm>
                    <a:prstGeom prst="rect">
                      <a:avLst/>
                    </a:prstGeom>
                    <a:noFill/>
                    <a:ln>
                      <a:noFill/>
                    </a:ln>
                  </pic:spPr>
                </pic:pic>
              </a:graphicData>
            </a:graphic>
          </wp:inline>
        </w:drawing>
      </w:r>
    </w:p>
    <w:p w:rsidR="002231A6" w:rsidRDefault="002231A6" w:rsidP="002231A6">
      <w:pPr>
        <w:rPr>
          <w:rFonts w:ascii="Century" w:eastAsia="ＭＳ 明朝" w:hAnsi="Century" w:cs="Times New Roman" w:hint="eastAsia"/>
        </w:rPr>
      </w:pPr>
      <w:r>
        <w:rPr>
          <w:rFonts w:ascii="Century" w:eastAsia="ＭＳ 明朝" w:hAnsi="Century" w:cs="Times New Roman"/>
        </w:rPr>
        <w:t xml:space="preserve">　</w:t>
      </w:r>
    </w:p>
    <w:p w:rsidR="00BA2F03" w:rsidRDefault="00071289" w:rsidP="002231A6">
      <w:pPr>
        <w:rPr>
          <w:rFonts w:ascii="Century" w:eastAsia="ＭＳ 明朝" w:hAnsi="Century" w:cs="Times New Roman" w:hint="eastAsia"/>
        </w:rPr>
      </w:pPr>
      <w:r>
        <w:rPr>
          <w:rFonts w:ascii="Century" w:eastAsia="ＭＳ 明朝" w:hAnsi="Century" w:cs="Times New Roman" w:hint="eastAsia"/>
        </w:rPr>
        <w:t xml:space="preserve">　日本の用語に習って、</w:t>
      </w:r>
      <w:r w:rsidR="005C12B6">
        <w:rPr>
          <w:rFonts w:ascii="Century" w:eastAsia="ＭＳ 明朝" w:hAnsi="Century" w:cs="Times New Roman" w:hint="eastAsia"/>
        </w:rPr>
        <w:t>mandatory spending</w:t>
      </w:r>
      <w:r w:rsidR="005C12B6">
        <w:rPr>
          <w:rFonts w:ascii="Century" w:eastAsia="ＭＳ 明朝" w:hAnsi="Century" w:cs="Times New Roman" w:hint="eastAsia"/>
        </w:rPr>
        <w:t>を特別会計、</w:t>
      </w:r>
      <w:r w:rsidR="005C12B6">
        <w:rPr>
          <w:rFonts w:ascii="Century" w:eastAsia="ＭＳ 明朝" w:hAnsi="Century" w:cs="Times New Roman" w:hint="eastAsia"/>
        </w:rPr>
        <w:t>discretionary spending</w:t>
      </w:r>
      <w:r w:rsidR="00BA2F03">
        <w:rPr>
          <w:rFonts w:ascii="Century" w:eastAsia="ＭＳ 明朝" w:hAnsi="Century" w:cs="Times New Roman" w:hint="eastAsia"/>
        </w:rPr>
        <w:t>を一般会計</w:t>
      </w:r>
      <w:r w:rsidR="00A80A54">
        <w:rPr>
          <w:rFonts w:ascii="Century" w:eastAsia="ＭＳ 明朝" w:hAnsi="Century" w:cs="Times New Roman" w:hint="eastAsia"/>
        </w:rPr>
        <w:t>と</w:t>
      </w:r>
      <w:r w:rsidR="00BA2F03">
        <w:rPr>
          <w:rFonts w:ascii="Century" w:eastAsia="ＭＳ 明朝" w:hAnsi="Century" w:cs="Times New Roman" w:hint="eastAsia"/>
        </w:rPr>
        <w:t>、</w:t>
      </w:r>
      <w:r w:rsidR="00A80A54">
        <w:rPr>
          <w:rFonts w:ascii="Century" w:eastAsia="ＭＳ 明朝" w:hAnsi="Century" w:cs="Times New Roman" w:hint="eastAsia"/>
        </w:rPr>
        <w:t>また、</w:t>
      </w:r>
      <w:r w:rsidR="00BA2F03">
        <w:rPr>
          <w:rFonts w:ascii="Century" w:eastAsia="ＭＳ 明朝" w:hAnsi="Century" w:cs="Times New Roman" w:hint="eastAsia"/>
        </w:rPr>
        <w:t>tax expenditure</w:t>
      </w:r>
      <w:r w:rsidR="00BA2F03">
        <w:rPr>
          <w:rFonts w:ascii="Century" w:eastAsia="ＭＳ 明朝" w:hAnsi="Century" w:cs="Times New Roman" w:hint="eastAsia"/>
        </w:rPr>
        <w:t>を租税支出</w:t>
      </w:r>
      <w:r w:rsidR="00A80A54">
        <w:rPr>
          <w:rFonts w:ascii="Century" w:eastAsia="ＭＳ 明朝" w:hAnsi="Century" w:cs="Times New Roman" w:hint="eastAsia"/>
        </w:rPr>
        <w:t>と、</w:t>
      </w:r>
      <w:r w:rsidR="00BA2F03">
        <w:rPr>
          <w:rFonts w:ascii="Century" w:eastAsia="ＭＳ 明朝" w:hAnsi="Century" w:cs="Times New Roman" w:hint="eastAsia"/>
        </w:rPr>
        <w:t>言い表す</w:t>
      </w:r>
      <w:r w:rsidR="00D71690">
        <w:rPr>
          <w:rFonts w:ascii="Century" w:eastAsia="ＭＳ 明朝" w:hAnsi="Century" w:cs="Times New Roman" w:hint="eastAsia"/>
        </w:rPr>
        <w:t>ことにする。</w:t>
      </w:r>
      <w:r w:rsidR="00D71690">
        <w:rPr>
          <w:rFonts w:ascii="Century" w:eastAsia="ＭＳ 明朝" w:hAnsi="Century" w:cs="Times New Roman" w:hint="eastAsia"/>
        </w:rPr>
        <w:t>租税支出が出現した</w:t>
      </w:r>
      <w:r w:rsidR="00D71690">
        <w:rPr>
          <w:rFonts w:ascii="Century" w:eastAsia="ＭＳ 明朝" w:hAnsi="Century" w:cs="Times New Roman" w:hint="eastAsia"/>
        </w:rPr>
        <w:t>1974</w:t>
      </w:r>
      <w:r w:rsidR="00D71690">
        <w:rPr>
          <w:rFonts w:ascii="Century" w:eastAsia="ＭＳ 明朝" w:hAnsi="Century" w:cs="Times New Roman" w:hint="eastAsia"/>
        </w:rPr>
        <w:t>年以降の米連邦政府予算について</w:t>
      </w:r>
      <w:r w:rsidR="002C57F4">
        <w:rPr>
          <w:rFonts w:ascii="Century" w:eastAsia="ＭＳ 明朝" w:hAnsi="Century" w:cs="Times New Roman" w:hint="eastAsia"/>
        </w:rPr>
        <w:t>ほぼ</w:t>
      </w:r>
      <w:r w:rsidR="002C57F4">
        <w:rPr>
          <w:rFonts w:ascii="Century" w:eastAsia="ＭＳ 明朝" w:hAnsi="Century" w:cs="Times New Roman" w:hint="eastAsia"/>
        </w:rPr>
        <w:t>40</w:t>
      </w:r>
      <w:r w:rsidR="002C57F4">
        <w:rPr>
          <w:rFonts w:ascii="Century" w:eastAsia="ＭＳ 明朝" w:hAnsi="Century" w:cs="Times New Roman" w:hint="eastAsia"/>
        </w:rPr>
        <w:t>年間分を一覧にした</w:t>
      </w:r>
      <w:r w:rsidR="00A80A54">
        <w:rPr>
          <w:rFonts w:ascii="Century" w:eastAsia="ＭＳ 明朝" w:hAnsi="Century" w:cs="Times New Roman" w:hint="eastAsia"/>
        </w:rPr>
        <w:t>この</w:t>
      </w:r>
      <w:r w:rsidR="002C57F4">
        <w:rPr>
          <w:rFonts w:ascii="Century" w:eastAsia="ＭＳ 明朝" w:hAnsi="Century" w:cs="Times New Roman" w:hint="eastAsia"/>
        </w:rPr>
        <w:t>グラフは、</w:t>
      </w:r>
      <w:hyperlink r:id="rId13" w:history="1">
        <w:r w:rsidR="00D71690" w:rsidRPr="00D71690">
          <w:rPr>
            <w:rStyle w:val="a7"/>
            <w:rFonts w:ascii="Century" w:eastAsia="ＭＳ 明朝" w:hAnsi="Century" w:cs="Times New Roman" w:hint="eastAsia"/>
          </w:rPr>
          <w:t>コラム１６７</w:t>
        </w:r>
      </w:hyperlink>
      <w:r w:rsidR="00D71690">
        <w:rPr>
          <w:rFonts w:ascii="Century" w:eastAsia="ＭＳ 明朝" w:hAnsi="Century" w:cs="Times New Roman" w:hint="eastAsia"/>
        </w:rPr>
        <w:t>で示した</w:t>
      </w:r>
      <w:r w:rsidR="00D71690">
        <w:rPr>
          <w:rFonts w:ascii="Century" w:eastAsia="ＭＳ 明朝" w:hAnsi="Century" w:cs="Times New Roman" w:hint="eastAsia"/>
        </w:rPr>
        <w:t>1984-2014</w:t>
      </w:r>
      <w:r w:rsidR="00D71690">
        <w:rPr>
          <w:rFonts w:ascii="Century" w:eastAsia="ＭＳ 明朝" w:hAnsi="Century" w:cs="Times New Roman" w:hint="eastAsia"/>
        </w:rPr>
        <w:t>のグラフと違い、一般会計が軍需と非軍需に分解されている</w:t>
      </w:r>
      <w:r w:rsidR="002C57F4">
        <w:rPr>
          <w:rFonts w:ascii="Century" w:eastAsia="ＭＳ 明朝" w:hAnsi="Century" w:cs="Times New Roman" w:hint="eastAsia"/>
        </w:rPr>
        <w:t>。</w:t>
      </w:r>
    </w:p>
    <w:p w:rsidR="00071289" w:rsidRDefault="00071289" w:rsidP="002231A6">
      <w:pPr>
        <w:rPr>
          <w:rFonts w:ascii="Century" w:eastAsia="ＭＳ 明朝" w:hAnsi="Century" w:cs="Times New Roman" w:hint="eastAsia"/>
        </w:rPr>
      </w:pPr>
    </w:p>
    <w:p w:rsidR="002C57F4" w:rsidRDefault="002C57F4" w:rsidP="00E7428A">
      <w:pPr>
        <w:pStyle w:val="ad"/>
        <w:numPr>
          <w:ilvl w:val="0"/>
          <w:numId w:val="1"/>
        </w:numPr>
        <w:ind w:leftChars="0"/>
        <w:rPr>
          <w:rFonts w:ascii="Century" w:eastAsia="ＭＳ 明朝" w:hAnsi="Century" w:cs="Times New Roman" w:hint="eastAsia"/>
        </w:rPr>
      </w:pPr>
      <w:r w:rsidRPr="00E7428A">
        <w:rPr>
          <w:rFonts w:ascii="Century" w:eastAsia="ＭＳ 明朝" w:hAnsi="Century" w:cs="Times New Roman" w:hint="eastAsia"/>
        </w:rPr>
        <w:t>オバマ政権が</w:t>
      </w:r>
      <w:r w:rsidRPr="00E7428A">
        <w:rPr>
          <w:rFonts w:ascii="Century" w:eastAsia="ＭＳ 明朝" w:hAnsi="Century" w:cs="Times New Roman" w:hint="eastAsia"/>
        </w:rPr>
        <w:t>2009</w:t>
      </w:r>
      <w:r w:rsidRPr="00E7428A">
        <w:rPr>
          <w:rFonts w:ascii="Century" w:eastAsia="ＭＳ 明朝" w:hAnsi="Century" w:cs="Times New Roman" w:hint="eastAsia"/>
        </w:rPr>
        <w:t>年に始まって以降、一般会計は</w:t>
      </w:r>
      <w:r w:rsidRPr="00C906B3">
        <w:rPr>
          <w:rFonts w:ascii="Century" w:eastAsia="ＭＳ 明朝" w:hAnsi="Century" w:cs="Times New Roman" w:hint="eastAsia"/>
          <w:u w:val="single"/>
        </w:rPr>
        <w:t>軍需</w:t>
      </w:r>
      <w:r w:rsidR="00E7428A" w:rsidRPr="00C906B3">
        <w:rPr>
          <w:rFonts w:ascii="Century" w:eastAsia="ＭＳ 明朝" w:hAnsi="Century" w:cs="Times New Roman" w:hint="eastAsia"/>
          <w:u w:val="single"/>
        </w:rPr>
        <w:t>だけでなく</w:t>
      </w:r>
      <w:r w:rsidRPr="00C906B3">
        <w:rPr>
          <w:rFonts w:ascii="Century" w:eastAsia="ＭＳ 明朝" w:hAnsi="Century" w:cs="Times New Roman" w:hint="eastAsia"/>
          <w:u w:val="single"/>
        </w:rPr>
        <w:t>非軍需も</w:t>
      </w:r>
      <w:r w:rsidR="00E7428A" w:rsidRPr="00C906B3">
        <w:rPr>
          <w:rFonts w:ascii="Century" w:eastAsia="ＭＳ 明朝" w:hAnsi="Century" w:cs="Times New Roman" w:hint="eastAsia"/>
          <w:u w:val="single"/>
        </w:rPr>
        <w:t>減らされ</w:t>
      </w:r>
      <w:r w:rsidR="00E7428A" w:rsidRPr="00E7428A">
        <w:rPr>
          <w:rFonts w:ascii="Century" w:eastAsia="ＭＳ 明朝" w:hAnsi="Century" w:cs="Times New Roman" w:hint="eastAsia"/>
        </w:rPr>
        <w:t>ている。</w:t>
      </w:r>
      <w:r w:rsidR="00E7428A" w:rsidRPr="00E7428A">
        <w:rPr>
          <w:rFonts w:ascii="Century" w:eastAsia="ＭＳ 明朝" w:hAnsi="Century" w:cs="Times New Roman" w:hint="eastAsia"/>
        </w:rPr>
        <w:t>tax expenditure</w:t>
      </w:r>
      <w:r w:rsidR="00E7428A" w:rsidRPr="00E7428A">
        <w:rPr>
          <w:rFonts w:ascii="Century" w:eastAsia="ＭＳ 明朝" w:hAnsi="Century" w:cs="Times New Roman" w:hint="eastAsia"/>
        </w:rPr>
        <w:t>（</w:t>
      </w:r>
      <w:r w:rsidR="00E7428A" w:rsidRPr="00E7428A">
        <w:rPr>
          <w:rFonts w:ascii="Century" w:eastAsia="ＭＳ 明朝" w:hAnsi="Century" w:cs="Times New Roman" w:hint="eastAsia"/>
        </w:rPr>
        <w:t>租税支出</w:t>
      </w:r>
      <w:r w:rsidR="00E7428A" w:rsidRPr="00E7428A">
        <w:rPr>
          <w:rFonts w:ascii="Century" w:eastAsia="ＭＳ 明朝" w:hAnsi="Century" w:cs="Times New Roman" w:hint="eastAsia"/>
        </w:rPr>
        <w:t>）多用が際立っている。これが</w:t>
      </w:r>
      <w:r w:rsidR="00E7428A" w:rsidRPr="00E7428A">
        <w:rPr>
          <w:rFonts w:ascii="Century" w:eastAsia="ＭＳ 明朝" w:hAnsi="Century" w:cs="Times New Roman" w:hint="eastAsia"/>
        </w:rPr>
        <w:t>ARRA2009</w:t>
      </w:r>
      <w:r w:rsidR="00E7428A" w:rsidRPr="00E7428A">
        <w:rPr>
          <w:rFonts w:ascii="Century" w:eastAsia="ＭＳ 明朝" w:hAnsi="Century" w:cs="Times New Roman" w:hint="eastAsia"/>
        </w:rPr>
        <w:t>（米国再生再投資法）の特徴。</w:t>
      </w:r>
    </w:p>
    <w:p w:rsidR="00E7428A" w:rsidRDefault="00E7428A" w:rsidP="00E7428A">
      <w:pPr>
        <w:pStyle w:val="ad"/>
        <w:numPr>
          <w:ilvl w:val="0"/>
          <w:numId w:val="1"/>
        </w:numPr>
        <w:ind w:leftChars="0"/>
        <w:rPr>
          <w:rFonts w:ascii="Century" w:eastAsia="ＭＳ 明朝" w:hAnsi="Century" w:cs="Times New Roman" w:hint="eastAsia"/>
        </w:rPr>
      </w:pPr>
      <w:r w:rsidRPr="00E7428A">
        <w:rPr>
          <w:rFonts w:ascii="Century" w:eastAsia="ＭＳ 明朝" w:hAnsi="Century" w:cs="Times New Roman" w:hint="eastAsia"/>
        </w:rPr>
        <w:t>tax expenditure</w:t>
      </w:r>
      <w:r w:rsidRPr="00E7428A">
        <w:rPr>
          <w:rFonts w:ascii="Century" w:eastAsia="ＭＳ 明朝" w:hAnsi="Century" w:cs="Times New Roman" w:hint="eastAsia"/>
        </w:rPr>
        <w:t>（租税支出）</w:t>
      </w:r>
      <w:r>
        <w:rPr>
          <w:rFonts w:ascii="Century" w:eastAsia="ＭＳ 明朝" w:hAnsi="Century" w:cs="Times New Roman" w:hint="eastAsia"/>
        </w:rPr>
        <w:t>を計測することが始まった当初から既に、その額が一般会計の額と同等規模であったことが分かる。</w:t>
      </w:r>
    </w:p>
    <w:p w:rsidR="00E7428A" w:rsidRDefault="00E7428A" w:rsidP="00E7428A">
      <w:pPr>
        <w:pStyle w:val="ad"/>
        <w:numPr>
          <w:ilvl w:val="0"/>
          <w:numId w:val="1"/>
        </w:numPr>
        <w:ind w:leftChars="0"/>
        <w:rPr>
          <w:rFonts w:ascii="Century" w:eastAsia="ＭＳ 明朝" w:hAnsi="Century" w:cs="Times New Roman" w:hint="eastAsia"/>
        </w:rPr>
      </w:pPr>
      <w:r>
        <w:rPr>
          <w:rFonts w:ascii="Century" w:eastAsia="ＭＳ 明朝" w:hAnsi="Century" w:cs="Times New Roman" w:hint="eastAsia"/>
        </w:rPr>
        <w:t>特別会計はリーマンショック等を除きほぼ単調に増加していることが分かる。</w:t>
      </w:r>
    </w:p>
    <w:p w:rsidR="00E7428A" w:rsidRPr="00E7428A" w:rsidRDefault="00E7428A" w:rsidP="00E7428A">
      <w:pPr>
        <w:rPr>
          <w:rFonts w:ascii="Century" w:eastAsia="ＭＳ 明朝" w:hAnsi="Century" w:cs="Times New Roman" w:hint="eastAsia"/>
        </w:rPr>
      </w:pPr>
    </w:p>
    <w:p w:rsidR="00071289" w:rsidRDefault="00374023" w:rsidP="002231A6">
      <w:pPr>
        <w:rPr>
          <w:rFonts w:ascii="Century" w:eastAsia="ＭＳ 明朝" w:hAnsi="Century" w:cs="Times New Roman" w:hint="eastAsia"/>
        </w:rPr>
      </w:pPr>
      <w:r>
        <w:rPr>
          <w:rFonts w:ascii="Century" w:eastAsia="ＭＳ 明朝" w:hAnsi="Century" w:cs="Times New Roman" w:hint="eastAsia"/>
        </w:rPr>
        <w:t xml:space="preserve">　</w:t>
      </w:r>
      <w:r w:rsidR="00A235F0" w:rsidRPr="00A235F0">
        <w:rPr>
          <w:rFonts w:ascii="Century" w:eastAsia="ＭＳ 明朝" w:hAnsi="Century" w:cs="Times New Roman" w:hint="eastAsia"/>
          <w:b/>
        </w:rPr>
        <w:t>最後に</w:t>
      </w:r>
      <w:r w:rsidR="00A235F0" w:rsidRPr="00A235F0">
        <w:rPr>
          <w:rFonts w:ascii="Century" w:eastAsia="ＭＳ 明朝" w:hAnsi="Century" w:cs="Times New Roman"/>
          <w:b/>
        </w:rPr>
        <w:t>「</w:t>
      </w:r>
      <w:r w:rsidR="00A235F0" w:rsidRPr="00A235F0">
        <w:rPr>
          <w:rFonts w:ascii="Century" w:eastAsia="ＭＳ 明朝" w:hAnsi="Century" w:cs="Times New Roman"/>
          <w:b/>
        </w:rPr>
        <w:t>check the box rule</w:t>
      </w:r>
      <w:r w:rsidR="00A235F0" w:rsidRPr="00A235F0">
        <w:rPr>
          <w:rFonts w:ascii="Century" w:eastAsia="ＭＳ 明朝" w:hAnsi="Century" w:cs="Times New Roman"/>
          <w:b/>
        </w:rPr>
        <w:t>関連」</w:t>
      </w:r>
      <w:r w:rsidR="00A235F0" w:rsidRPr="00A235F0">
        <w:rPr>
          <w:rFonts w:ascii="Century" w:eastAsia="ＭＳ 明朝" w:hAnsi="Century" w:cs="Times New Roman"/>
          <w:b/>
        </w:rPr>
        <w:t>を述べる</w:t>
      </w:r>
      <w:r w:rsidR="00A235F0">
        <w:rPr>
          <w:rFonts w:ascii="Century" w:eastAsia="ＭＳ 明朝" w:hAnsi="Century" w:cs="Times New Roman"/>
        </w:rPr>
        <w:t>。</w:t>
      </w:r>
      <w:hyperlink r:id="rId14" w:history="1">
        <w:r w:rsidR="00C906B3" w:rsidRPr="004D408D">
          <w:rPr>
            <w:rStyle w:val="a7"/>
            <w:rFonts w:ascii="Century" w:eastAsia="ＭＳ 明朝" w:hAnsi="Century" w:cs="Times New Roman"/>
          </w:rPr>
          <w:t>コラ</w:t>
        </w:r>
        <w:r w:rsidR="00C906B3" w:rsidRPr="004D408D">
          <w:rPr>
            <w:rStyle w:val="a7"/>
            <w:rFonts w:ascii="Century" w:eastAsia="ＭＳ 明朝" w:hAnsi="Century" w:cs="Times New Roman"/>
          </w:rPr>
          <w:t>ム</w:t>
        </w:r>
        <w:r w:rsidR="00C906B3" w:rsidRPr="004D408D">
          <w:rPr>
            <w:rStyle w:val="a7"/>
            <w:rFonts w:ascii="Century" w:eastAsia="ＭＳ 明朝" w:hAnsi="Century" w:cs="Times New Roman"/>
          </w:rPr>
          <w:t>３</w:t>
        </w:r>
        <w:r w:rsidR="00C906B3" w:rsidRPr="004D408D">
          <w:rPr>
            <w:rStyle w:val="a7"/>
            <w:rFonts w:ascii="Century" w:eastAsia="ＭＳ 明朝" w:hAnsi="Century" w:cs="Times New Roman"/>
          </w:rPr>
          <w:t>９</w:t>
        </w:r>
      </w:hyperlink>
      <w:r w:rsidR="00C906B3">
        <w:rPr>
          <w:rFonts w:ascii="Century" w:eastAsia="ＭＳ 明朝" w:hAnsi="Century" w:cs="Times New Roman"/>
        </w:rPr>
        <w:t>と</w:t>
      </w:r>
      <w:hyperlink r:id="rId15" w:history="1">
        <w:r w:rsidR="00C906B3" w:rsidRPr="004D408D">
          <w:rPr>
            <w:rStyle w:val="a7"/>
            <w:rFonts w:ascii="Century" w:eastAsia="ＭＳ 明朝" w:hAnsi="Century" w:cs="Times New Roman"/>
          </w:rPr>
          <w:t>コラム</w:t>
        </w:r>
        <w:r w:rsidR="004D408D" w:rsidRPr="004D408D">
          <w:rPr>
            <w:rStyle w:val="a7"/>
            <w:rFonts w:ascii="Century" w:eastAsia="ＭＳ 明朝" w:hAnsi="Century" w:cs="Times New Roman"/>
          </w:rPr>
          <w:t>１０２</w:t>
        </w:r>
      </w:hyperlink>
      <w:r w:rsidR="004D408D">
        <w:rPr>
          <w:rFonts w:ascii="Century" w:eastAsia="ＭＳ 明朝" w:hAnsi="Century" w:cs="Times New Roman"/>
        </w:rPr>
        <w:t>とに</w:t>
      </w:r>
      <w:r w:rsidR="00CB4276">
        <w:rPr>
          <w:rFonts w:ascii="Century" w:eastAsia="ＭＳ 明朝" w:hAnsi="Century" w:cs="Times New Roman"/>
        </w:rPr>
        <w:t>過去分があるので復習されたい。</w:t>
      </w:r>
    </w:p>
    <w:p w:rsidR="00396EB0" w:rsidRDefault="00CB4276" w:rsidP="002231A6">
      <w:pPr>
        <w:rPr>
          <w:rFonts w:ascii="Century" w:eastAsia="ＭＳ 明朝" w:hAnsi="Century" w:cs="Times New Roman" w:hint="eastAsia"/>
        </w:rPr>
      </w:pPr>
      <w:r>
        <w:rPr>
          <w:rFonts w:ascii="Century" w:eastAsia="ＭＳ 明朝" w:hAnsi="Century" w:cs="Times New Roman" w:hint="eastAsia"/>
        </w:rPr>
        <w:t xml:space="preserve">　</w:t>
      </w:r>
      <w:r>
        <w:rPr>
          <w:rFonts w:ascii="Century" w:eastAsia="ＭＳ 明朝" w:hAnsi="Century" w:cs="Times New Roman"/>
        </w:rPr>
        <w:t>C</w:t>
      </w:r>
      <w:r>
        <w:rPr>
          <w:rFonts w:ascii="Century" w:eastAsia="ＭＳ 明朝" w:hAnsi="Century" w:cs="Times New Roman" w:hint="eastAsia"/>
        </w:rPr>
        <w:t>heck the box rule</w:t>
      </w:r>
      <w:r>
        <w:rPr>
          <w:rFonts w:ascii="Century" w:eastAsia="ＭＳ 明朝" w:hAnsi="Century" w:cs="Times New Roman" w:hint="eastAsia"/>
        </w:rPr>
        <w:t>の条文</w:t>
      </w:r>
      <w:r w:rsidR="00396EB0">
        <w:rPr>
          <w:rFonts w:ascii="Century" w:eastAsia="ＭＳ 明朝" w:hAnsi="Century" w:cs="Times New Roman" w:hint="eastAsia"/>
        </w:rPr>
        <w:t>（</w:t>
      </w:r>
      <w:hyperlink r:id="rId16" w:history="1">
        <w:r w:rsidR="00396EB0" w:rsidRPr="00396EB0">
          <w:rPr>
            <w:rStyle w:val="a7"/>
            <w:rFonts w:ascii="Century" w:eastAsia="ＭＳ 明朝" w:hAnsi="Century" w:cs="Times New Roman" w:hint="eastAsia"/>
          </w:rPr>
          <w:t>Corporate and Partnership taxation</w:t>
        </w:r>
      </w:hyperlink>
      <w:r w:rsidR="00396EB0">
        <w:rPr>
          <w:rFonts w:ascii="Century" w:eastAsia="ＭＳ 明朝" w:hAnsi="Century" w:cs="Times New Roman" w:hint="eastAsia"/>
        </w:rPr>
        <w:t xml:space="preserve"> 99page</w:t>
      </w:r>
      <w:r w:rsidR="00396EB0">
        <w:rPr>
          <w:rFonts w:ascii="Century" w:eastAsia="ＭＳ 明朝" w:hAnsi="Century" w:cs="Times New Roman" w:hint="eastAsia"/>
        </w:rPr>
        <w:t>）</w:t>
      </w:r>
      <w:r>
        <w:rPr>
          <w:rFonts w:ascii="Century" w:eastAsia="ＭＳ 明朝" w:hAnsi="Century" w:cs="Times New Roman" w:hint="eastAsia"/>
        </w:rPr>
        <w:t>は：</w:t>
      </w:r>
    </w:p>
    <w:p w:rsidR="00A80A54" w:rsidRDefault="00A80A54" w:rsidP="002231A6">
      <w:pPr>
        <w:rPr>
          <w:rFonts w:ascii="Century" w:eastAsia="ＭＳ 明朝" w:hAnsi="Century" w:cs="Times New Roman" w:hint="eastAsia"/>
        </w:rPr>
      </w:pPr>
    </w:p>
    <w:p w:rsidR="00CB4276" w:rsidRDefault="00CB4276" w:rsidP="002231A6">
      <w:pPr>
        <w:rPr>
          <w:rFonts w:ascii="Century" w:eastAsia="ＭＳ 明朝" w:hAnsi="Century" w:cs="Times New Roman" w:hint="eastAsia"/>
        </w:rPr>
      </w:pPr>
      <w:r>
        <w:t>Regulation</w:t>
      </w:r>
      <w:r>
        <w:rPr>
          <w:rFonts w:hint="eastAsia"/>
        </w:rPr>
        <w:t xml:space="preserve"> </w:t>
      </w:r>
      <w:r>
        <w:t>§§</w:t>
      </w:r>
      <w:r>
        <w:rPr>
          <w:rFonts w:hint="eastAsia"/>
        </w:rPr>
        <w:t xml:space="preserve"> 301.7701-2(c)(1)</w:t>
      </w:r>
    </w:p>
    <w:p w:rsidR="00CB4276" w:rsidRDefault="00CB4276" w:rsidP="002231A6">
      <w:pPr>
        <w:rPr>
          <w:rFonts w:hint="eastAsia"/>
        </w:rPr>
      </w:pPr>
      <w:r>
        <w:rPr>
          <w:rFonts w:ascii="Century" w:eastAsia="ＭＳ 明朝" w:hAnsi="Century" w:cs="Times New Roman" w:hint="eastAsia"/>
        </w:rPr>
        <w:t xml:space="preserve">　</w:t>
      </w:r>
      <w:r>
        <w:rPr>
          <w:rFonts w:hint="eastAsia"/>
        </w:rPr>
        <w:t>A business entity with two or more members that is not automatically classified as a corporation is classified as a partnership for Federal tax purposes, unless an election is made for the entity to be classified as a corporation.</w:t>
      </w:r>
    </w:p>
    <w:p w:rsidR="00A80A54" w:rsidRDefault="00CB4276" w:rsidP="002231A6">
      <w:pPr>
        <w:rPr>
          <w:rFonts w:hint="eastAsia"/>
        </w:rPr>
      </w:pPr>
      <w:r>
        <w:rPr>
          <w:rFonts w:hint="eastAsia"/>
        </w:rPr>
        <w:t xml:space="preserve">　</w:t>
      </w:r>
      <w:r w:rsidR="00915279">
        <w:rPr>
          <w:rFonts w:hint="eastAsia"/>
        </w:rPr>
        <w:t>和訳：</w:t>
      </w:r>
      <w:r w:rsidRPr="00CB4276">
        <w:rPr>
          <w:rFonts w:hint="eastAsia"/>
        </w:rPr>
        <w:t>二人以上の</w:t>
      </w:r>
      <w:r w:rsidRPr="00CB4276">
        <w:rPr>
          <w:rFonts w:hint="eastAsia"/>
        </w:rPr>
        <w:t>member</w:t>
      </w:r>
      <w:r w:rsidRPr="00CB4276">
        <w:rPr>
          <w:rFonts w:hint="eastAsia"/>
        </w:rPr>
        <w:t>からなり、自動的に</w:t>
      </w:r>
      <w:r w:rsidRPr="00CB4276">
        <w:rPr>
          <w:rFonts w:hint="eastAsia"/>
        </w:rPr>
        <w:t>corporation</w:t>
      </w:r>
      <w:r w:rsidRPr="00CB4276">
        <w:rPr>
          <w:rFonts w:hint="eastAsia"/>
        </w:rPr>
        <w:t>と分類されるものを除く</w:t>
      </w:r>
      <w:r w:rsidRPr="00CB4276">
        <w:rPr>
          <w:rFonts w:hint="eastAsia"/>
        </w:rPr>
        <w:t>business entity</w:t>
      </w:r>
      <w:r w:rsidRPr="00CB4276">
        <w:rPr>
          <w:rFonts w:hint="eastAsia"/>
        </w:rPr>
        <w:t>は、連邦税務上</w:t>
      </w:r>
      <w:r w:rsidRPr="00CB4276">
        <w:rPr>
          <w:rFonts w:hint="eastAsia"/>
        </w:rPr>
        <w:t>partnership</w:t>
      </w:r>
      <w:r w:rsidRPr="00CB4276">
        <w:rPr>
          <w:rFonts w:hint="eastAsia"/>
        </w:rPr>
        <w:t>であると分類される。ただし、</w:t>
      </w:r>
      <w:r w:rsidRPr="00CB4276">
        <w:rPr>
          <w:rFonts w:hint="eastAsia"/>
        </w:rPr>
        <w:t>corporation</w:t>
      </w:r>
      <w:r w:rsidRPr="00CB4276">
        <w:rPr>
          <w:rFonts w:hint="eastAsia"/>
        </w:rPr>
        <w:t>であるという選択がなされた場合を除く。</w:t>
      </w:r>
    </w:p>
    <w:p w:rsidR="00A80A54" w:rsidRDefault="00A80A54" w:rsidP="002231A6">
      <w:pPr>
        <w:rPr>
          <w:rFonts w:hint="eastAsia"/>
        </w:rPr>
      </w:pPr>
    </w:p>
    <w:p w:rsidR="00CB4276" w:rsidRDefault="00CB4276" w:rsidP="002231A6">
      <w:pPr>
        <w:rPr>
          <w:rFonts w:hint="eastAsia"/>
        </w:rPr>
      </w:pPr>
      <w:r>
        <w:rPr>
          <w:rFonts w:hint="eastAsia"/>
        </w:rPr>
        <w:t xml:space="preserve">　また、関連して</w:t>
      </w:r>
      <w:r>
        <w:rPr>
          <w:rFonts w:hint="eastAsia"/>
        </w:rPr>
        <w:t>per se corporation</w:t>
      </w:r>
      <w:r>
        <w:rPr>
          <w:rFonts w:hint="eastAsia"/>
        </w:rPr>
        <w:t>の典型例である</w:t>
      </w:r>
      <w:r>
        <w:rPr>
          <w:rFonts w:hint="eastAsia"/>
        </w:rPr>
        <w:t>PTP</w:t>
      </w:r>
      <w:r w:rsidRPr="005336DC">
        <w:rPr>
          <w:rFonts w:hint="eastAsia"/>
        </w:rPr>
        <w:t>（</w:t>
      </w:r>
      <w:r w:rsidRPr="005336DC">
        <w:t>publicly</w:t>
      </w:r>
      <w:r w:rsidRPr="005336DC">
        <w:rPr>
          <w:rFonts w:hint="eastAsia"/>
        </w:rPr>
        <w:t xml:space="preserve"> traded partnership</w:t>
      </w:r>
      <w:r w:rsidRPr="005336DC">
        <w:rPr>
          <w:rFonts w:hint="eastAsia"/>
        </w:rPr>
        <w:t>）</w:t>
      </w:r>
      <w:r>
        <w:rPr>
          <w:rFonts w:hint="eastAsia"/>
        </w:rPr>
        <w:t>の規定条文</w:t>
      </w:r>
      <w:r w:rsidR="00396EB0">
        <w:rPr>
          <w:rFonts w:hint="eastAsia"/>
        </w:rPr>
        <w:t>（</w:t>
      </w:r>
      <w:hyperlink r:id="rId17" w:history="1">
        <w:r w:rsidR="00396EB0" w:rsidRPr="00396EB0">
          <w:rPr>
            <w:rStyle w:val="a7"/>
            <w:rFonts w:ascii="Century" w:eastAsia="ＭＳ 明朝" w:hAnsi="Century" w:cs="Times New Roman" w:hint="eastAsia"/>
          </w:rPr>
          <w:t>Corporate and Partnership taxation</w:t>
        </w:r>
      </w:hyperlink>
      <w:r w:rsidR="00396EB0">
        <w:rPr>
          <w:rFonts w:ascii="Century" w:eastAsia="ＭＳ 明朝" w:hAnsi="Century" w:cs="Times New Roman" w:hint="eastAsia"/>
        </w:rPr>
        <w:t xml:space="preserve"> 101page</w:t>
      </w:r>
      <w:r w:rsidR="00396EB0">
        <w:rPr>
          <w:rFonts w:hint="eastAsia"/>
        </w:rPr>
        <w:t>）</w:t>
      </w:r>
      <w:r>
        <w:rPr>
          <w:rFonts w:hint="eastAsia"/>
        </w:rPr>
        <w:t>は</w:t>
      </w:r>
      <w:r w:rsidR="00915279">
        <w:rPr>
          <w:rFonts w:hint="eastAsia"/>
        </w:rPr>
        <w:t>和訳すると</w:t>
      </w:r>
      <w:r>
        <w:rPr>
          <w:rFonts w:hint="eastAsia"/>
        </w:rPr>
        <w:t>：</w:t>
      </w:r>
    </w:p>
    <w:p w:rsidR="00A80A54" w:rsidRDefault="00A80A54" w:rsidP="002231A6">
      <w:pPr>
        <w:rPr>
          <w:rFonts w:hint="eastAsia"/>
        </w:rPr>
      </w:pPr>
    </w:p>
    <w:p w:rsidR="00396EB0" w:rsidRDefault="00396EB0" w:rsidP="002231A6">
      <w:pPr>
        <w:rPr>
          <w:rFonts w:hint="eastAsia"/>
        </w:rPr>
      </w:pPr>
      <w:r>
        <w:rPr>
          <w:rFonts w:hint="eastAsia"/>
        </w:rPr>
        <w:t>IRC</w:t>
      </w:r>
      <w:r>
        <w:rPr>
          <w:rFonts w:hint="eastAsia"/>
        </w:rPr>
        <w:t>§</w:t>
      </w:r>
      <w:r>
        <w:rPr>
          <w:rFonts w:hint="eastAsia"/>
        </w:rPr>
        <w:t>7704(a)</w:t>
      </w:r>
      <w:r>
        <w:rPr>
          <w:rFonts w:hint="eastAsia"/>
        </w:rPr>
        <w:t>：</w:t>
      </w:r>
      <w:r>
        <w:rPr>
          <w:rFonts w:hint="eastAsia"/>
        </w:rPr>
        <w:t xml:space="preserve">publicly traded partnership </w:t>
      </w:r>
      <w:r>
        <w:rPr>
          <w:rFonts w:hint="eastAsia"/>
        </w:rPr>
        <w:t>は原則として</w:t>
      </w:r>
      <w:r>
        <w:rPr>
          <w:rFonts w:hint="eastAsia"/>
        </w:rPr>
        <w:t>corporation</w:t>
      </w:r>
      <w:r>
        <w:rPr>
          <w:rFonts w:hint="eastAsia"/>
        </w:rPr>
        <w:t>として分類される。</w:t>
      </w:r>
    </w:p>
    <w:p w:rsidR="00396EB0" w:rsidRDefault="00396EB0" w:rsidP="002231A6">
      <w:pPr>
        <w:rPr>
          <w:rFonts w:hint="eastAsia"/>
        </w:rPr>
      </w:pPr>
      <w:r>
        <w:rPr>
          <w:rFonts w:hint="eastAsia"/>
        </w:rPr>
        <w:t>IRC</w:t>
      </w:r>
      <w:r>
        <w:rPr>
          <w:rFonts w:hint="eastAsia"/>
        </w:rPr>
        <w:t>§</w:t>
      </w:r>
      <w:r>
        <w:rPr>
          <w:rFonts w:hint="eastAsia"/>
        </w:rPr>
        <w:t>7704(b)</w:t>
      </w:r>
      <w:r>
        <w:rPr>
          <w:rFonts w:hint="eastAsia"/>
        </w:rPr>
        <w:t>：</w:t>
      </w:r>
      <w:r>
        <w:rPr>
          <w:rFonts w:hint="eastAsia"/>
        </w:rPr>
        <w:t>publicly traded partnership</w:t>
      </w:r>
      <w:r>
        <w:rPr>
          <w:rFonts w:hint="eastAsia"/>
        </w:rPr>
        <w:t>とは、その持分（持率）が、確立した証券市場において売買される</w:t>
      </w:r>
      <w:r>
        <w:rPr>
          <w:rFonts w:hint="eastAsia"/>
        </w:rPr>
        <w:t>partnership</w:t>
      </w:r>
      <w:r>
        <w:rPr>
          <w:rFonts w:hint="eastAsia"/>
        </w:rPr>
        <w:t>、または、その持分（持率）が二次的市場（または実質上それと等価な市場）において売買が可能となりつつある</w:t>
      </w:r>
      <w:r>
        <w:rPr>
          <w:rFonts w:hint="eastAsia"/>
        </w:rPr>
        <w:t>partnership</w:t>
      </w:r>
      <w:r>
        <w:rPr>
          <w:rFonts w:hint="eastAsia"/>
        </w:rPr>
        <w:t>のことをいう。</w:t>
      </w:r>
      <w:r w:rsidR="00915279">
        <w:rPr>
          <w:rStyle w:val="ac"/>
        </w:rPr>
        <w:footnoteReference w:id="1"/>
      </w:r>
    </w:p>
    <w:p w:rsidR="00915279" w:rsidRDefault="00915279" w:rsidP="002231A6">
      <w:pPr>
        <w:rPr>
          <w:rFonts w:hint="eastAsia"/>
        </w:rPr>
      </w:pPr>
    </w:p>
    <w:p w:rsidR="00755930" w:rsidRDefault="00915279" w:rsidP="00A80A54">
      <w:pPr>
        <w:ind w:firstLineChars="100" w:firstLine="211"/>
        <w:rPr>
          <w:rFonts w:hint="eastAsia"/>
        </w:rPr>
      </w:pPr>
      <w:r w:rsidRPr="00A80A54">
        <w:rPr>
          <w:b/>
        </w:rPr>
        <w:t>今週は以上。次号発行は</w:t>
      </w:r>
      <w:r w:rsidRPr="00A80A54">
        <w:rPr>
          <w:b/>
        </w:rPr>
        <w:t>1</w:t>
      </w:r>
      <w:r w:rsidRPr="00A80A54">
        <w:rPr>
          <w:b/>
        </w:rPr>
        <w:t>月</w:t>
      </w:r>
      <w:r w:rsidRPr="00A80A54">
        <w:rPr>
          <w:b/>
        </w:rPr>
        <w:t>8</w:t>
      </w:r>
      <w:r w:rsidRPr="00A80A54">
        <w:rPr>
          <w:b/>
        </w:rPr>
        <w:t>日か</w:t>
      </w:r>
      <w:r w:rsidRPr="00A80A54">
        <w:rPr>
          <w:b/>
        </w:rPr>
        <w:t>1</w:t>
      </w:r>
      <w:r w:rsidRPr="00A80A54">
        <w:rPr>
          <w:b/>
        </w:rPr>
        <w:t>月</w:t>
      </w:r>
      <w:r w:rsidRPr="00A80A54">
        <w:rPr>
          <w:b/>
        </w:rPr>
        <w:t>15</w:t>
      </w:r>
      <w:r w:rsidRPr="00A80A54">
        <w:rPr>
          <w:b/>
        </w:rPr>
        <w:t>日の予定。ご期待ください</w:t>
      </w:r>
      <w:r>
        <w:t>。</w:t>
      </w:r>
    </w:p>
    <w:p w:rsidR="00507DB7" w:rsidRDefault="00755930" w:rsidP="00755930">
      <w:pPr>
        <w:ind w:firstLineChars="100" w:firstLine="210"/>
        <w:rPr>
          <w:rFonts w:hint="eastAsia"/>
        </w:rPr>
      </w:pPr>
      <w:r>
        <w:rPr>
          <w:rFonts w:hint="eastAsia"/>
        </w:rPr>
        <w:t>なお、当勉強会は今年度で、即ち来春で、予定していた</w:t>
      </w:r>
      <w:r w:rsidR="00A2315F">
        <w:rPr>
          <w:rFonts w:hint="eastAsia"/>
        </w:rPr>
        <w:t>二</w:t>
      </w:r>
      <w:bookmarkStart w:id="0" w:name="_GoBack"/>
      <w:bookmarkEnd w:id="0"/>
      <w:r>
        <w:rPr>
          <w:rFonts w:hint="eastAsia"/>
        </w:rPr>
        <w:t>年間を終えますが、各方面からもご好評を頂きまして来年度も引き続き行う予定で準備を進めております。基礎知識を持った方にはディス</w:t>
      </w:r>
      <w:r w:rsidR="00507DB7">
        <w:rPr>
          <w:rFonts w:hint="eastAsia"/>
        </w:rPr>
        <w:t>カ</w:t>
      </w:r>
      <w:r>
        <w:rPr>
          <w:rFonts w:hint="eastAsia"/>
        </w:rPr>
        <w:t>ションの場</w:t>
      </w:r>
      <w:r w:rsidR="00507DB7">
        <w:rPr>
          <w:rFonts w:hint="eastAsia"/>
        </w:rPr>
        <w:t>やご発表の場</w:t>
      </w:r>
      <w:r>
        <w:rPr>
          <w:rFonts w:hint="eastAsia"/>
        </w:rPr>
        <w:t>を、また、これから基礎知識を得たい方にもそれなりに役に立つような場にならないか、今、色々と模索しています。準備が出来次第アナウンスいたしますので、この</w:t>
      </w:r>
      <w:r>
        <w:rPr>
          <w:rFonts w:hint="eastAsia"/>
        </w:rPr>
        <w:t>Web Site</w:t>
      </w:r>
      <w:r>
        <w:rPr>
          <w:rFonts w:hint="eastAsia"/>
        </w:rPr>
        <w:t>に</w:t>
      </w:r>
      <w:r w:rsidR="00507DB7">
        <w:rPr>
          <w:rFonts w:hint="eastAsia"/>
        </w:rPr>
        <w:t>今まで</w:t>
      </w:r>
      <w:r>
        <w:rPr>
          <w:rFonts w:hint="eastAsia"/>
        </w:rPr>
        <w:t>ROM</w:t>
      </w:r>
      <w:r>
        <w:rPr>
          <w:rFonts w:hint="eastAsia"/>
        </w:rPr>
        <w:t>で</w:t>
      </w:r>
      <w:r w:rsidR="00A80A54">
        <w:rPr>
          <w:rFonts w:hint="eastAsia"/>
        </w:rPr>
        <w:t>密かに</w:t>
      </w:r>
      <w:r>
        <w:rPr>
          <w:rFonts w:hint="eastAsia"/>
        </w:rPr>
        <w:t>参加して頂いた方も「今度は</w:t>
      </w:r>
      <w:r w:rsidR="00507DB7">
        <w:rPr>
          <w:rFonts w:hint="eastAsia"/>
        </w:rPr>
        <w:t>直接出向いて参加しよう」とご準備なさって下さい。コーヒーやお茶を飲みながら</w:t>
      </w:r>
      <w:r w:rsidR="00AB3284">
        <w:rPr>
          <w:rFonts w:hint="eastAsia"/>
        </w:rPr>
        <w:t>、</w:t>
      </w:r>
      <w:r w:rsidR="00A80A54">
        <w:rPr>
          <w:rFonts w:hint="eastAsia"/>
        </w:rPr>
        <w:t>毎月</w:t>
      </w:r>
      <w:r w:rsidR="00AB3284">
        <w:rPr>
          <w:rFonts w:hint="eastAsia"/>
        </w:rPr>
        <w:t>第四金曜日の午後のひととき、</w:t>
      </w:r>
      <w:r w:rsidR="00507DB7">
        <w:rPr>
          <w:rFonts w:hint="eastAsia"/>
        </w:rPr>
        <w:t>ワイワイとやってみませんか？</w:t>
      </w:r>
    </w:p>
    <w:p w:rsidR="00915279" w:rsidRPr="00E7428A" w:rsidRDefault="00507DB7" w:rsidP="00755930">
      <w:pPr>
        <w:ind w:firstLineChars="100" w:firstLine="210"/>
        <w:rPr>
          <w:rFonts w:ascii="Century" w:eastAsia="ＭＳ 明朝" w:hAnsi="Century" w:cs="Times New Roman" w:hint="eastAsia"/>
        </w:rPr>
      </w:pPr>
      <w:r>
        <w:rPr>
          <w:rFonts w:hint="eastAsia"/>
        </w:rPr>
        <w:t>さて、</w:t>
      </w:r>
      <w:r w:rsidR="00915279">
        <w:t>今年もおつきあいくださりありがとうございま</w:t>
      </w:r>
      <w:r w:rsidR="00A80A54">
        <w:t>した</w:t>
      </w:r>
      <w:r w:rsidR="00915279">
        <w:t>。来年も</w:t>
      </w:r>
      <w:r w:rsidR="00755930">
        <w:t>宜しくお願いいたします。</w:t>
      </w:r>
      <w:r w:rsidR="00A80A54">
        <w:t>皆様</w:t>
      </w:r>
      <w:r w:rsidR="00755930">
        <w:t>良いお年をお迎えください。</w:t>
      </w:r>
    </w:p>
    <w:sectPr w:rsidR="00915279" w:rsidRPr="00E7428A">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55" w:rsidRDefault="004D5E55" w:rsidP="002231A6">
      <w:r>
        <w:separator/>
      </w:r>
    </w:p>
  </w:endnote>
  <w:endnote w:type="continuationSeparator" w:id="0">
    <w:p w:rsidR="004D5E55" w:rsidRDefault="004D5E55" w:rsidP="0022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5987"/>
      <w:docPartObj>
        <w:docPartGallery w:val="Page Numbers (Bottom of Page)"/>
        <w:docPartUnique/>
      </w:docPartObj>
    </w:sdtPr>
    <w:sdtEndPr/>
    <w:sdtContent>
      <w:p w:rsidR="00642801" w:rsidRDefault="0023504E">
        <w:pPr>
          <w:pStyle w:val="a5"/>
          <w:jc w:val="center"/>
        </w:pPr>
        <w:r>
          <w:fldChar w:fldCharType="begin"/>
        </w:r>
        <w:r>
          <w:instrText>PAGE   \* MERGEFORMAT</w:instrText>
        </w:r>
        <w:r>
          <w:fldChar w:fldCharType="separate"/>
        </w:r>
        <w:r w:rsidR="00A2315F" w:rsidRPr="00A2315F">
          <w:rPr>
            <w:noProof/>
            <w:lang w:val="ja-JP"/>
          </w:rPr>
          <w:t>2</w:t>
        </w:r>
        <w:r>
          <w:fldChar w:fldCharType="end"/>
        </w:r>
      </w:p>
    </w:sdtContent>
  </w:sdt>
  <w:p w:rsidR="00642801" w:rsidRDefault="004D5E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55" w:rsidRDefault="004D5E55" w:rsidP="002231A6">
      <w:r>
        <w:separator/>
      </w:r>
    </w:p>
  </w:footnote>
  <w:footnote w:type="continuationSeparator" w:id="0">
    <w:p w:rsidR="004D5E55" w:rsidRDefault="004D5E55" w:rsidP="002231A6">
      <w:r>
        <w:continuationSeparator/>
      </w:r>
    </w:p>
  </w:footnote>
  <w:footnote w:id="1">
    <w:p w:rsidR="00915279" w:rsidRDefault="00915279">
      <w:pPr>
        <w:pStyle w:val="aa"/>
        <w:rPr>
          <w:rFonts w:hint="eastAsia"/>
        </w:rPr>
      </w:pPr>
      <w:r>
        <w:rPr>
          <w:rStyle w:val="ac"/>
        </w:rPr>
        <w:footnoteRef/>
      </w:r>
      <w:r>
        <w:t xml:space="preserve"> </w:t>
      </w:r>
      <w:r>
        <w:rPr>
          <w:rFonts w:hint="eastAsia"/>
        </w:rPr>
        <w:t xml:space="preserve">A </w:t>
      </w:r>
      <w:r>
        <w:t>“</w:t>
      </w:r>
      <w:r>
        <w:rPr>
          <w:rFonts w:hint="eastAsia"/>
        </w:rPr>
        <w:t>publicly traded partnership</w:t>
      </w:r>
      <w:r>
        <w:t>”</w:t>
      </w:r>
      <w:r>
        <w:rPr>
          <w:rFonts w:hint="eastAsia"/>
        </w:rPr>
        <w:t xml:space="preserve"> is a partnership whose interests are traded on an established securities market or are readily tradable on a secondary market (or the substantial equivalent thereof).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1041"/>
    <w:multiLevelType w:val="hybridMultilevel"/>
    <w:tmpl w:val="73A2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26"/>
    <w:rsid w:val="00071289"/>
    <w:rsid w:val="00117126"/>
    <w:rsid w:val="00174522"/>
    <w:rsid w:val="001E6A79"/>
    <w:rsid w:val="001E6CC7"/>
    <w:rsid w:val="002231A6"/>
    <w:rsid w:val="0023504E"/>
    <w:rsid w:val="002C57F4"/>
    <w:rsid w:val="003455BA"/>
    <w:rsid w:val="00374023"/>
    <w:rsid w:val="00396EB0"/>
    <w:rsid w:val="004D408D"/>
    <w:rsid w:val="004D5E55"/>
    <w:rsid w:val="00507DB7"/>
    <w:rsid w:val="005C12B6"/>
    <w:rsid w:val="00686467"/>
    <w:rsid w:val="006C083D"/>
    <w:rsid w:val="00755930"/>
    <w:rsid w:val="00915279"/>
    <w:rsid w:val="009274E4"/>
    <w:rsid w:val="009F7920"/>
    <w:rsid w:val="00A2315F"/>
    <w:rsid w:val="00A235F0"/>
    <w:rsid w:val="00A80A54"/>
    <w:rsid w:val="00AB3284"/>
    <w:rsid w:val="00BA2F03"/>
    <w:rsid w:val="00C774F6"/>
    <w:rsid w:val="00C906B3"/>
    <w:rsid w:val="00CB4276"/>
    <w:rsid w:val="00D71690"/>
    <w:rsid w:val="00D85775"/>
    <w:rsid w:val="00E47C17"/>
    <w:rsid w:val="00E7428A"/>
    <w:rsid w:val="00EF3AF4"/>
    <w:rsid w:val="00F7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1A6"/>
    <w:pPr>
      <w:tabs>
        <w:tab w:val="center" w:pos="4252"/>
        <w:tab w:val="right" w:pos="8504"/>
      </w:tabs>
      <w:snapToGrid w:val="0"/>
    </w:pPr>
  </w:style>
  <w:style w:type="character" w:customStyle="1" w:styleId="a4">
    <w:name w:val="ヘッダー (文字)"/>
    <w:basedOn w:val="a0"/>
    <w:link w:val="a3"/>
    <w:uiPriority w:val="99"/>
    <w:rsid w:val="002231A6"/>
  </w:style>
  <w:style w:type="paragraph" w:styleId="a5">
    <w:name w:val="footer"/>
    <w:basedOn w:val="a"/>
    <w:link w:val="a6"/>
    <w:uiPriority w:val="99"/>
    <w:unhideWhenUsed/>
    <w:rsid w:val="002231A6"/>
    <w:pPr>
      <w:tabs>
        <w:tab w:val="center" w:pos="4252"/>
        <w:tab w:val="right" w:pos="8504"/>
      </w:tabs>
      <w:snapToGrid w:val="0"/>
    </w:pPr>
  </w:style>
  <w:style w:type="character" w:customStyle="1" w:styleId="a6">
    <w:name w:val="フッター (文字)"/>
    <w:basedOn w:val="a0"/>
    <w:link w:val="a5"/>
    <w:uiPriority w:val="99"/>
    <w:rsid w:val="002231A6"/>
  </w:style>
  <w:style w:type="character" w:styleId="a7">
    <w:name w:val="Hyperlink"/>
    <w:basedOn w:val="a0"/>
    <w:uiPriority w:val="99"/>
    <w:unhideWhenUsed/>
    <w:rsid w:val="002231A6"/>
    <w:rPr>
      <w:color w:val="0000FF" w:themeColor="hyperlink"/>
      <w:u w:val="single"/>
    </w:rPr>
  </w:style>
  <w:style w:type="character" w:customStyle="1" w:styleId="titlepart">
    <w:name w:val="titlepart"/>
    <w:basedOn w:val="a0"/>
    <w:rsid w:val="002231A6"/>
  </w:style>
  <w:style w:type="paragraph" w:styleId="a8">
    <w:name w:val="Balloon Text"/>
    <w:basedOn w:val="a"/>
    <w:link w:val="a9"/>
    <w:uiPriority w:val="99"/>
    <w:semiHidden/>
    <w:unhideWhenUsed/>
    <w:rsid w:val="00223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1A6"/>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F7920"/>
    <w:pPr>
      <w:snapToGrid w:val="0"/>
      <w:jc w:val="left"/>
    </w:pPr>
  </w:style>
  <w:style w:type="character" w:customStyle="1" w:styleId="ab">
    <w:name w:val="脚注文字列 (文字)"/>
    <w:basedOn w:val="a0"/>
    <w:link w:val="aa"/>
    <w:uiPriority w:val="99"/>
    <w:semiHidden/>
    <w:rsid w:val="009F7920"/>
  </w:style>
  <w:style w:type="character" w:styleId="ac">
    <w:name w:val="footnote reference"/>
    <w:basedOn w:val="a0"/>
    <w:uiPriority w:val="99"/>
    <w:semiHidden/>
    <w:unhideWhenUsed/>
    <w:rsid w:val="009F7920"/>
    <w:rPr>
      <w:vertAlign w:val="superscript"/>
    </w:rPr>
  </w:style>
  <w:style w:type="paragraph" w:styleId="ad">
    <w:name w:val="List Paragraph"/>
    <w:basedOn w:val="a"/>
    <w:uiPriority w:val="34"/>
    <w:qFormat/>
    <w:rsid w:val="00E7428A"/>
    <w:pPr>
      <w:ind w:leftChars="400" w:left="840"/>
    </w:pPr>
  </w:style>
  <w:style w:type="character" w:styleId="ae">
    <w:name w:val="FollowedHyperlink"/>
    <w:basedOn w:val="a0"/>
    <w:uiPriority w:val="99"/>
    <w:semiHidden/>
    <w:unhideWhenUsed/>
    <w:rsid w:val="00CB42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1A6"/>
    <w:pPr>
      <w:tabs>
        <w:tab w:val="center" w:pos="4252"/>
        <w:tab w:val="right" w:pos="8504"/>
      </w:tabs>
      <w:snapToGrid w:val="0"/>
    </w:pPr>
  </w:style>
  <w:style w:type="character" w:customStyle="1" w:styleId="a4">
    <w:name w:val="ヘッダー (文字)"/>
    <w:basedOn w:val="a0"/>
    <w:link w:val="a3"/>
    <w:uiPriority w:val="99"/>
    <w:rsid w:val="002231A6"/>
  </w:style>
  <w:style w:type="paragraph" w:styleId="a5">
    <w:name w:val="footer"/>
    <w:basedOn w:val="a"/>
    <w:link w:val="a6"/>
    <w:uiPriority w:val="99"/>
    <w:unhideWhenUsed/>
    <w:rsid w:val="002231A6"/>
    <w:pPr>
      <w:tabs>
        <w:tab w:val="center" w:pos="4252"/>
        <w:tab w:val="right" w:pos="8504"/>
      </w:tabs>
      <w:snapToGrid w:val="0"/>
    </w:pPr>
  </w:style>
  <w:style w:type="character" w:customStyle="1" w:styleId="a6">
    <w:name w:val="フッター (文字)"/>
    <w:basedOn w:val="a0"/>
    <w:link w:val="a5"/>
    <w:uiPriority w:val="99"/>
    <w:rsid w:val="002231A6"/>
  </w:style>
  <w:style w:type="character" w:styleId="a7">
    <w:name w:val="Hyperlink"/>
    <w:basedOn w:val="a0"/>
    <w:uiPriority w:val="99"/>
    <w:unhideWhenUsed/>
    <w:rsid w:val="002231A6"/>
    <w:rPr>
      <w:color w:val="0000FF" w:themeColor="hyperlink"/>
      <w:u w:val="single"/>
    </w:rPr>
  </w:style>
  <w:style w:type="character" w:customStyle="1" w:styleId="titlepart">
    <w:name w:val="titlepart"/>
    <w:basedOn w:val="a0"/>
    <w:rsid w:val="002231A6"/>
  </w:style>
  <w:style w:type="paragraph" w:styleId="a8">
    <w:name w:val="Balloon Text"/>
    <w:basedOn w:val="a"/>
    <w:link w:val="a9"/>
    <w:uiPriority w:val="99"/>
    <w:semiHidden/>
    <w:unhideWhenUsed/>
    <w:rsid w:val="00223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1A6"/>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9F7920"/>
    <w:pPr>
      <w:snapToGrid w:val="0"/>
      <w:jc w:val="left"/>
    </w:pPr>
  </w:style>
  <w:style w:type="character" w:customStyle="1" w:styleId="ab">
    <w:name w:val="脚注文字列 (文字)"/>
    <w:basedOn w:val="a0"/>
    <w:link w:val="aa"/>
    <w:uiPriority w:val="99"/>
    <w:semiHidden/>
    <w:rsid w:val="009F7920"/>
  </w:style>
  <w:style w:type="character" w:styleId="ac">
    <w:name w:val="footnote reference"/>
    <w:basedOn w:val="a0"/>
    <w:uiPriority w:val="99"/>
    <w:semiHidden/>
    <w:unhideWhenUsed/>
    <w:rsid w:val="009F7920"/>
    <w:rPr>
      <w:vertAlign w:val="superscript"/>
    </w:rPr>
  </w:style>
  <w:style w:type="paragraph" w:styleId="ad">
    <w:name w:val="List Paragraph"/>
    <w:basedOn w:val="a"/>
    <w:uiPriority w:val="34"/>
    <w:qFormat/>
    <w:rsid w:val="00E7428A"/>
    <w:pPr>
      <w:ind w:leftChars="400" w:left="840"/>
    </w:pPr>
  </w:style>
  <w:style w:type="character" w:styleId="ae">
    <w:name w:val="FollowedHyperlink"/>
    <w:basedOn w:val="a0"/>
    <w:uiPriority w:val="99"/>
    <w:semiHidden/>
    <w:unhideWhenUsed/>
    <w:rsid w:val="00CB4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c.ip.rcast.u-tokyo.ac.jp/Column%20hobo-shuukan/2015/20151204%20W167%20tax%20expenditure/20151204%20W167%20tax%20expenditure%20rev1.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amazon.com/Letter-Outline-Corporate-Partnership-Taxation/dp/0314277560/ref=sr_1_1?s=books&amp;ie=UTF8&amp;qid=1450930823&amp;sr=1-1&amp;keywords=corporate+and+partnership+taxation" TargetMode="External"/><Relationship Id="rId2" Type="http://schemas.openxmlformats.org/officeDocument/2006/relationships/numbering" Target="numbering.xml"/><Relationship Id="rId16" Type="http://schemas.openxmlformats.org/officeDocument/2006/relationships/hyperlink" Target="http://www.amazon.com/Letter-Outline-Corporate-Partnership-Taxation/dp/0314277560/ref=sr_1_1?s=books&amp;ie=UTF8&amp;qid=1450930823&amp;sr=1-1&amp;keywords=corporate+and+partnership+tax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s.org/sgp/crs/misc/R44012.pdf" TargetMode="External"/><Relationship Id="rId5" Type="http://schemas.openxmlformats.org/officeDocument/2006/relationships/settings" Target="settings.xml"/><Relationship Id="rId15" Type="http://schemas.openxmlformats.org/officeDocument/2006/relationships/hyperlink" Target="http://www.llc.ip.rcast.u-tokyo.ac.jp/Column%20hobo-shuukan/2014/20140711%20W102%20IRS%20IBD%20related/20140711%20W102%20IRS%20IBD%20related%20rev3.doc"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4" Type="http://schemas.openxmlformats.org/officeDocument/2006/relationships/hyperlink" Target="http://www.llc.ip.rcast.u-tokyo.ac.jp/Column%20hobo-shuukan/2013/20130322%20W12%201996%20Dec%2017th%20Check%20the%20Box%20enacted/20130322%20W12%201996%20Dec%2017th%20Check%20the%20Box%20enacted%20rev1.doc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a:t>米中日独　名目</a:t>
            </a:r>
            <a:r>
              <a:rPr lang="en-US" altLang="ja-JP"/>
              <a:t>GDP</a:t>
            </a:r>
            <a:r>
              <a:rPr lang="ja-JP" altLang="en-US"/>
              <a:t>（兆ドル）　</a:t>
            </a:r>
            <a:r>
              <a:rPr lang="en-US" altLang="ja-JP"/>
              <a:t>1980-2015</a:t>
            </a:r>
          </a:p>
        </c:rich>
      </c:tx>
      <c:overlay val="0"/>
    </c:title>
    <c:autoTitleDeleted val="0"/>
    <c:plotArea>
      <c:layout/>
      <c:lineChart>
        <c:grouping val="standard"/>
        <c:varyColors val="0"/>
        <c:ser>
          <c:idx val="1"/>
          <c:order val="0"/>
          <c:tx>
            <c:strRef>
              <c:f>Sheet1!$A$104</c:f>
              <c:strCache>
                <c:ptCount val="1"/>
                <c:pt idx="0">
                  <c:v>米国</c:v>
                </c:pt>
              </c:strCache>
            </c:strRef>
          </c:tx>
          <c:spPr>
            <a:ln>
              <a:prstDash val="lgDash"/>
            </a:ln>
          </c:spPr>
          <c:marker>
            <c:symbol val="none"/>
          </c:marker>
          <c:cat>
            <c:numRef>
              <c:f>Sheet1!$B$100:$AK$100</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Sheet1!$B$104:$AK$104</c:f>
              <c:numCache>
                <c:formatCode>#,##0</c:formatCode>
                <c:ptCount val="36"/>
                <c:pt idx="0">
                  <c:v>2862475</c:v>
                </c:pt>
                <c:pt idx="1">
                  <c:v>3210950</c:v>
                </c:pt>
                <c:pt idx="2">
                  <c:v>3345000</c:v>
                </c:pt>
                <c:pt idx="3">
                  <c:v>3638125</c:v>
                </c:pt>
                <c:pt idx="4">
                  <c:v>4040700</c:v>
                </c:pt>
                <c:pt idx="5">
                  <c:v>4346750</c:v>
                </c:pt>
                <c:pt idx="6">
                  <c:v>4590125</c:v>
                </c:pt>
                <c:pt idx="7">
                  <c:v>4870225</c:v>
                </c:pt>
                <c:pt idx="8">
                  <c:v>5252625</c:v>
                </c:pt>
                <c:pt idx="9">
                  <c:v>5657700</c:v>
                </c:pt>
                <c:pt idx="10">
                  <c:v>5979575</c:v>
                </c:pt>
                <c:pt idx="11">
                  <c:v>6174050</c:v>
                </c:pt>
                <c:pt idx="12">
                  <c:v>6539300</c:v>
                </c:pt>
                <c:pt idx="13">
                  <c:v>6878700</c:v>
                </c:pt>
                <c:pt idx="14">
                  <c:v>7308775</c:v>
                </c:pt>
                <c:pt idx="15">
                  <c:v>7664050</c:v>
                </c:pt>
                <c:pt idx="16">
                  <c:v>8100175</c:v>
                </c:pt>
                <c:pt idx="17">
                  <c:v>8608525</c:v>
                </c:pt>
                <c:pt idx="18">
                  <c:v>9089150</c:v>
                </c:pt>
                <c:pt idx="19">
                  <c:v>9660625</c:v>
                </c:pt>
                <c:pt idx="20">
                  <c:v>10284750</c:v>
                </c:pt>
                <c:pt idx="21">
                  <c:v>10621825</c:v>
                </c:pt>
                <c:pt idx="22">
                  <c:v>10977525</c:v>
                </c:pt>
                <c:pt idx="23">
                  <c:v>11510675</c:v>
                </c:pt>
                <c:pt idx="24">
                  <c:v>12274925</c:v>
                </c:pt>
                <c:pt idx="25">
                  <c:v>13093700</c:v>
                </c:pt>
                <c:pt idx="26">
                  <c:v>13855900</c:v>
                </c:pt>
                <c:pt idx="27">
                  <c:v>14477625</c:v>
                </c:pt>
                <c:pt idx="28">
                  <c:v>14718575</c:v>
                </c:pt>
                <c:pt idx="29">
                  <c:v>14418725</c:v>
                </c:pt>
                <c:pt idx="30">
                  <c:v>14964400</c:v>
                </c:pt>
                <c:pt idx="31">
                  <c:v>15517925</c:v>
                </c:pt>
                <c:pt idx="32">
                  <c:v>16155250</c:v>
                </c:pt>
                <c:pt idx="33">
                  <c:v>16663150</c:v>
                </c:pt>
                <c:pt idx="34">
                  <c:v>17348075</c:v>
                </c:pt>
                <c:pt idx="35">
                  <c:v>17968195</c:v>
                </c:pt>
              </c:numCache>
            </c:numRef>
          </c:val>
          <c:smooth val="0"/>
        </c:ser>
        <c:ser>
          <c:idx val="3"/>
          <c:order val="1"/>
          <c:tx>
            <c:strRef>
              <c:f>Sheet1!$A$101</c:f>
              <c:strCache>
                <c:ptCount val="1"/>
                <c:pt idx="0">
                  <c:v>中国</c:v>
                </c:pt>
              </c:strCache>
            </c:strRef>
          </c:tx>
          <c:spPr>
            <a:ln>
              <a:prstDash val="sysDash"/>
            </a:ln>
          </c:spPr>
          <c:marker>
            <c:symbol val="none"/>
          </c:marker>
          <c:cat>
            <c:numRef>
              <c:f>Sheet1!$B$100:$AK$100</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Sheet1!$B$101:$AK$101</c:f>
              <c:numCache>
                <c:formatCode>#,##0</c:formatCode>
                <c:ptCount val="36"/>
                <c:pt idx="0">
                  <c:v>303764</c:v>
                </c:pt>
                <c:pt idx="1">
                  <c:v>287363</c:v>
                </c:pt>
                <c:pt idx="2">
                  <c:v>281790</c:v>
                </c:pt>
                <c:pt idx="3">
                  <c:v>302459</c:v>
                </c:pt>
                <c:pt idx="4">
                  <c:v>311473</c:v>
                </c:pt>
                <c:pt idx="5">
                  <c:v>307829</c:v>
                </c:pt>
                <c:pt idx="6">
                  <c:v>298564</c:v>
                </c:pt>
                <c:pt idx="7">
                  <c:v>325144</c:v>
                </c:pt>
                <c:pt idx="8">
                  <c:v>405715</c:v>
                </c:pt>
                <c:pt idx="9">
                  <c:v>453914</c:v>
                </c:pt>
                <c:pt idx="10">
                  <c:v>392505</c:v>
                </c:pt>
                <c:pt idx="11">
                  <c:v>411307</c:v>
                </c:pt>
                <c:pt idx="12">
                  <c:v>490848</c:v>
                </c:pt>
                <c:pt idx="13">
                  <c:v>616527</c:v>
                </c:pt>
                <c:pt idx="14">
                  <c:v>562277</c:v>
                </c:pt>
                <c:pt idx="15">
                  <c:v>731973</c:v>
                </c:pt>
                <c:pt idx="16">
                  <c:v>860843</c:v>
                </c:pt>
                <c:pt idx="17">
                  <c:v>958156</c:v>
                </c:pt>
                <c:pt idx="18">
                  <c:v>1025295</c:v>
                </c:pt>
                <c:pt idx="19">
                  <c:v>1089453</c:v>
                </c:pt>
                <c:pt idx="20">
                  <c:v>1205263</c:v>
                </c:pt>
                <c:pt idx="21">
                  <c:v>1332247</c:v>
                </c:pt>
                <c:pt idx="22">
                  <c:v>1461920</c:v>
                </c:pt>
                <c:pt idx="23">
                  <c:v>1649924</c:v>
                </c:pt>
                <c:pt idx="24">
                  <c:v>1941748</c:v>
                </c:pt>
                <c:pt idx="25">
                  <c:v>2268615</c:v>
                </c:pt>
                <c:pt idx="26">
                  <c:v>2729750</c:v>
                </c:pt>
                <c:pt idx="27">
                  <c:v>3523275</c:v>
                </c:pt>
                <c:pt idx="28">
                  <c:v>4558901</c:v>
                </c:pt>
                <c:pt idx="29">
                  <c:v>5059716</c:v>
                </c:pt>
                <c:pt idx="30">
                  <c:v>6039547</c:v>
                </c:pt>
                <c:pt idx="31">
                  <c:v>7492529</c:v>
                </c:pt>
                <c:pt idx="32">
                  <c:v>8461511</c:v>
                </c:pt>
                <c:pt idx="33">
                  <c:v>9490845</c:v>
                </c:pt>
                <c:pt idx="34">
                  <c:v>10356508</c:v>
                </c:pt>
                <c:pt idx="35">
                  <c:v>11384763</c:v>
                </c:pt>
              </c:numCache>
            </c:numRef>
          </c:val>
          <c:smooth val="0"/>
        </c:ser>
        <c:ser>
          <c:idx val="0"/>
          <c:order val="2"/>
          <c:tx>
            <c:strRef>
              <c:f>Sheet1!$A$103</c:f>
              <c:strCache>
                <c:ptCount val="1"/>
                <c:pt idx="0">
                  <c:v>日本</c:v>
                </c:pt>
              </c:strCache>
            </c:strRef>
          </c:tx>
          <c:marker>
            <c:symbol val="none"/>
          </c:marker>
          <c:cat>
            <c:numRef>
              <c:f>Sheet1!$B$100:$AK$100</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Sheet1!$B$103:$AK$103</c:f>
              <c:numCache>
                <c:formatCode>#,##0</c:formatCode>
                <c:ptCount val="36"/>
                <c:pt idx="0">
                  <c:v>1086988</c:v>
                </c:pt>
                <c:pt idx="1">
                  <c:v>1201466</c:v>
                </c:pt>
                <c:pt idx="2">
                  <c:v>1116841</c:v>
                </c:pt>
                <c:pt idx="3">
                  <c:v>1218107</c:v>
                </c:pt>
                <c:pt idx="4">
                  <c:v>1294609</c:v>
                </c:pt>
                <c:pt idx="5">
                  <c:v>1384532</c:v>
                </c:pt>
                <c:pt idx="6">
                  <c:v>2051061</c:v>
                </c:pt>
                <c:pt idx="7">
                  <c:v>2485237</c:v>
                </c:pt>
                <c:pt idx="8">
                  <c:v>3015394</c:v>
                </c:pt>
                <c:pt idx="9">
                  <c:v>3017052</c:v>
                </c:pt>
                <c:pt idx="10">
                  <c:v>3103699</c:v>
                </c:pt>
                <c:pt idx="11">
                  <c:v>3536803</c:v>
                </c:pt>
                <c:pt idx="12">
                  <c:v>3852794</c:v>
                </c:pt>
                <c:pt idx="13">
                  <c:v>4414964</c:v>
                </c:pt>
                <c:pt idx="14">
                  <c:v>4850349</c:v>
                </c:pt>
                <c:pt idx="15">
                  <c:v>5333927</c:v>
                </c:pt>
                <c:pt idx="16">
                  <c:v>4706485</c:v>
                </c:pt>
                <c:pt idx="17">
                  <c:v>4325240</c:v>
                </c:pt>
                <c:pt idx="18">
                  <c:v>3916456</c:v>
                </c:pt>
                <c:pt idx="19">
                  <c:v>4417025</c:v>
                </c:pt>
                <c:pt idx="20">
                  <c:v>4730987</c:v>
                </c:pt>
                <c:pt idx="21">
                  <c:v>4161034</c:v>
                </c:pt>
                <c:pt idx="22">
                  <c:v>3980897</c:v>
                </c:pt>
                <c:pt idx="23">
                  <c:v>4304602</c:v>
                </c:pt>
                <c:pt idx="24">
                  <c:v>4656405</c:v>
                </c:pt>
                <c:pt idx="25">
                  <c:v>4572414</c:v>
                </c:pt>
                <c:pt idx="26">
                  <c:v>4356845</c:v>
                </c:pt>
                <c:pt idx="27">
                  <c:v>4356347</c:v>
                </c:pt>
                <c:pt idx="28">
                  <c:v>4849185</c:v>
                </c:pt>
                <c:pt idx="29">
                  <c:v>5035141</c:v>
                </c:pt>
                <c:pt idx="30">
                  <c:v>5498719</c:v>
                </c:pt>
                <c:pt idx="31">
                  <c:v>5908988</c:v>
                </c:pt>
                <c:pt idx="32">
                  <c:v>5957249</c:v>
                </c:pt>
                <c:pt idx="33">
                  <c:v>4919589</c:v>
                </c:pt>
                <c:pt idx="34">
                  <c:v>4602367</c:v>
                </c:pt>
                <c:pt idx="35">
                  <c:v>4116242</c:v>
                </c:pt>
              </c:numCache>
            </c:numRef>
          </c:val>
          <c:smooth val="0"/>
        </c:ser>
        <c:ser>
          <c:idx val="4"/>
          <c:order val="3"/>
          <c:tx>
            <c:strRef>
              <c:f>Sheet1!$A$102</c:f>
              <c:strCache>
                <c:ptCount val="1"/>
                <c:pt idx="0">
                  <c:v>ドイツ</c:v>
                </c:pt>
              </c:strCache>
            </c:strRef>
          </c:tx>
          <c:spPr>
            <a:ln>
              <a:prstDash val="sysDot"/>
            </a:ln>
          </c:spPr>
          <c:marker>
            <c:symbol val="none"/>
          </c:marker>
          <c:cat>
            <c:numRef>
              <c:f>Sheet1!$B$100:$AK$100</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Sheet1!$B$102:$AK$102</c:f>
              <c:numCache>
                <c:formatCode>#,##0</c:formatCode>
                <c:ptCount val="36"/>
                <c:pt idx="0">
                  <c:v>850642</c:v>
                </c:pt>
                <c:pt idx="1">
                  <c:v>715726</c:v>
                </c:pt>
                <c:pt idx="2">
                  <c:v>691011</c:v>
                </c:pt>
                <c:pt idx="3">
                  <c:v>689366</c:v>
                </c:pt>
                <c:pt idx="4">
                  <c:v>649558</c:v>
                </c:pt>
                <c:pt idx="5">
                  <c:v>658784</c:v>
                </c:pt>
                <c:pt idx="6">
                  <c:v>940833</c:v>
                </c:pt>
                <c:pt idx="7">
                  <c:v>1170617</c:v>
                </c:pt>
                <c:pt idx="8">
                  <c:v>1262020</c:v>
                </c:pt>
                <c:pt idx="9">
                  <c:v>1252915</c:v>
                </c:pt>
                <c:pt idx="10">
                  <c:v>1592710</c:v>
                </c:pt>
                <c:pt idx="11">
                  <c:v>1869104</c:v>
                </c:pt>
                <c:pt idx="12">
                  <c:v>2128558</c:v>
                </c:pt>
                <c:pt idx="13">
                  <c:v>2069766</c:v>
                </c:pt>
                <c:pt idx="14">
                  <c:v>2211022</c:v>
                </c:pt>
                <c:pt idx="15">
                  <c:v>2594371</c:v>
                </c:pt>
                <c:pt idx="16">
                  <c:v>2504671</c:v>
                </c:pt>
                <c:pt idx="17">
                  <c:v>2221738</c:v>
                </c:pt>
                <c:pt idx="18">
                  <c:v>2246445</c:v>
                </c:pt>
                <c:pt idx="19">
                  <c:v>2202845</c:v>
                </c:pt>
                <c:pt idx="20">
                  <c:v>1955673</c:v>
                </c:pt>
                <c:pt idx="21">
                  <c:v>1952325</c:v>
                </c:pt>
                <c:pt idx="22">
                  <c:v>2086496</c:v>
                </c:pt>
                <c:pt idx="23">
                  <c:v>2510528</c:v>
                </c:pt>
                <c:pt idx="24">
                  <c:v>2823071</c:v>
                </c:pt>
                <c:pt idx="25">
                  <c:v>2866308</c:v>
                </c:pt>
                <c:pt idx="26">
                  <c:v>3005081</c:v>
                </c:pt>
                <c:pt idx="27">
                  <c:v>3444723</c:v>
                </c:pt>
                <c:pt idx="28">
                  <c:v>3770150</c:v>
                </c:pt>
                <c:pt idx="29">
                  <c:v>3426672</c:v>
                </c:pt>
                <c:pt idx="30">
                  <c:v>3423466</c:v>
                </c:pt>
                <c:pt idx="31">
                  <c:v>3761142</c:v>
                </c:pt>
                <c:pt idx="32">
                  <c:v>3541575</c:v>
                </c:pt>
                <c:pt idx="33">
                  <c:v>3746488</c:v>
                </c:pt>
                <c:pt idx="34">
                  <c:v>3874437</c:v>
                </c:pt>
                <c:pt idx="35">
                  <c:v>3371003</c:v>
                </c:pt>
              </c:numCache>
            </c:numRef>
          </c:val>
          <c:smooth val="0"/>
        </c:ser>
        <c:dLbls>
          <c:showLegendKey val="0"/>
          <c:showVal val="0"/>
          <c:showCatName val="0"/>
          <c:showSerName val="0"/>
          <c:showPercent val="0"/>
          <c:showBubbleSize val="0"/>
        </c:dLbls>
        <c:marker val="1"/>
        <c:smooth val="0"/>
        <c:axId val="235553920"/>
        <c:axId val="235555840"/>
      </c:lineChart>
      <c:catAx>
        <c:axId val="235553920"/>
        <c:scaling>
          <c:orientation val="minMax"/>
        </c:scaling>
        <c:delete val="0"/>
        <c:axPos val="b"/>
        <c:numFmt formatCode="General" sourceLinked="1"/>
        <c:majorTickMark val="out"/>
        <c:minorTickMark val="none"/>
        <c:tickLblPos val="nextTo"/>
        <c:crossAx val="235555840"/>
        <c:crosses val="autoZero"/>
        <c:auto val="1"/>
        <c:lblAlgn val="ctr"/>
        <c:lblOffset val="100"/>
        <c:tickLblSkip val="5"/>
        <c:noMultiLvlLbl val="0"/>
      </c:catAx>
      <c:valAx>
        <c:axId val="235555840"/>
        <c:scaling>
          <c:orientation val="minMax"/>
        </c:scaling>
        <c:delete val="0"/>
        <c:axPos val="l"/>
        <c:majorGridlines/>
        <c:title>
          <c:tx>
            <c:rich>
              <a:bodyPr/>
              <a:lstStyle/>
              <a:p>
                <a:pPr>
                  <a:defRPr/>
                </a:pPr>
                <a:r>
                  <a:rPr lang="ja-JP" altLang="en-US"/>
                  <a:t>名目</a:t>
                </a:r>
                <a:r>
                  <a:rPr lang="en-US" altLang="ja-JP"/>
                  <a:t>GDP</a:t>
                </a:r>
                <a:r>
                  <a:rPr lang="ja-JP" altLang="en-US"/>
                  <a:t>（兆ドル）</a:t>
                </a:r>
              </a:p>
            </c:rich>
          </c:tx>
          <c:overlay val="0"/>
        </c:title>
        <c:numFmt formatCode="#,##0" sourceLinked="1"/>
        <c:majorTickMark val="none"/>
        <c:minorTickMark val="none"/>
        <c:tickLblPos val="nextTo"/>
        <c:crossAx val="235553920"/>
        <c:crosses val="autoZero"/>
        <c:crossBetween val="between"/>
        <c:dispUnits>
          <c:builtInUnit val="millions"/>
        </c:dispUnits>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0.27987</cdr:x>
      <cdr:y>0.09053</cdr:y>
    </cdr:from>
    <cdr:to>
      <cdr:x>0.73528</cdr:x>
      <cdr:y>0.17282</cdr:y>
    </cdr:to>
    <cdr:sp macro="" textlink="">
      <cdr:nvSpPr>
        <cdr:cNvPr id="2" name="テキスト ボックス 1"/>
        <cdr:cNvSpPr txBox="1"/>
      </cdr:nvSpPr>
      <cdr:spPr>
        <a:xfrm xmlns:a="http://schemas.openxmlformats.org/drawingml/2006/main">
          <a:off x="1511330" y="319334"/>
          <a:ext cx="2459232" cy="2902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ja-JP" altLang="en-US" sz="1100"/>
            <a:t>出典：</a:t>
          </a:r>
          <a:r>
            <a:rPr lang="en-US" altLang="ja-JP" sz="1100"/>
            <a:t>IMF World Economic Outlook Database List</a:t>
          </a:r>
          <a:r>
            <a:rPr lang="ja-JP" altLang="en-US" sz="1100"/>
            <a:t>　</a:t>
          </a:r>
          <a:r>
            <a:rPr lang="en-US" altLang="ja-JP" sz="1100"/>
            <a:t> </a:t>
          </a:r>
          <a:r>
            <a:rPr lang="ja-JP" altLang="en-US" sz="1100"/>
            <a:t>作製：</a:t>
          </a:r>
          <a:r>
            <a:rPr lang="en-US" altLang="ja-JP" sz="1100"/>
            <a:t>2015.12.23</a:t>
          </a:r>
        </a:p>
        <a:p xmlns:a="http://schemas.openxmlformats.org/drawingml/2006/main">
          <a:pPr algn="ctr"/>
          <a:r>
            <a:rPr lang="en-US" altLang="ja-JP" sz="1100"/>
            <a:t>2</a:t>
          </a:r>
        </a:p>
        <a:p xmlns:a="http://schemas.openxmlformats.org/drawingml/2006/main">
          <a:pPr algn="ctr"/>
          <a:r>
            <a:rPr lang="en-US" altLang="ja-JP" sz="1100"/>
            <a:t> </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3E7D-0252-4F78-AD0E-7541523C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11</cp:revision>
  <dcterms:created xsi:type="dcterms:W3CDTF">2015-12-21T03:58:00Z</dcterms:created>
  <dcterms:modified xsi:type="dcterms:W3CDTF">2015-12-24T05:15:00Z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